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FA41" w14:textId="77777777" w:rsidR="000F69FB" w:rsidRPr="00C803F3" w:rsidRDefault="000F69FB">
      <w:bookmarkStart w:id="0" w:name="_GoBack"/>
      <w:bookmarkEnd w:id="0"/>
    </w:p>
    <w:bookmarkStart w:id="1" w:name="Title" w:displacedByCustomXml="next"/>
    <w:sdt>
      <w:sdtPr>
        <w:alias w:val="Title"/>
        <w:tag w:val="Title"/>
        <w:id w:val="1323468504"/>
        <w:placeholder>
          <w:docPart w:val="35139A65BA9743548B8E82869583EEF8"/>
        </w:placeholder>
        <w:text w:multiLine="1"/>
      </w:sdtPr>
      <w:sdtContent>
        <w:p w14:paraId="032E6DCD" w14:textId="0370A14B" w:rsidR="009B6F95" w:rsidRPr="00C803F3" w:rsidRDefault="00C001C0" w:rsidP="009B6F95">
          <w:pPr>
            <w:pStyle w:val="Title1"/>
          </w:pPr>
          <w:r>
            <w:t>Update Paper</w:t>
          </w:r>
        </w:p>
      </w:sdtContent>
    </w:sdt>
    <w:bookmarkEnd w:id="1" w:displacedByCustomXml="prev"/>
    <w:p w14:paraId="27371150" w14:textId="77777777" w:rsidR="009B6F95" w:rsidRPr="00C803F3" w:rsidRDefault="009B6F95"/>
    <w:sdt>
      <w:sdtPr>
        <w:rPr>
          <w:rStyle w:val="Style6"/>
        </w:rPr>
        <w:alias w:val="Purpose of report"/>
        <w:tag w:val="Purpose of report"/>
        <w:id w:val="-783727919"/>
        <w:lock w:val="sdtLocked"/>
        <w:placeholder>
          <w:docPart w:val="D421CB5F5529477DB701E8F68F2F101E"/>
        </w:placeholder>
      </w:sdtPr>
      <w:sdtContent>
        <w:p w14:paraId="069FFA9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095804EC2D24CD48495388B6292DC3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425E2DA1" w14:textId="77777777" w:rsidR="00795C95" w:rsidRDefault="002F7E12" w:rsidP="00B84F31">
          <w:pPr>
            <w:ind w:left="0" w:firstLine="0"/>
            <w:rPr>
              <w:rStyle w:val="Title3Char"/>
            </w:rPr>
          </w:pPr>
          <w:r>
            <w:rPr>
              <w:rStyle w:val="Title3Char"/>
            </w:rPr>
            <w:t>For information.</w:t>
          </w:r>
        </w:p>
      </w:sdtContent>
    </w:sdt>
    <w:p w14:paraId="3209561A" w14:textId="77777777" w:rsidR="009B6F95" w:rsidRPr="00C803F3" w:rsidRDefault="009B6F95" w:rsidP="00B84F31">
      <w:pPr>
        <w:ind w:left="0" w:firstLine="0"/>
      </w:pPr>
    </w:p>
    <w:sdt>
      <w:sdtPr>
        <w:rPr>
          <w:rStyle w:val="Style6"/>
        </w:rPr>
        <w:id w:val="911819474"/>
        <w:lock w:val="sdtLocked"/>
        <w:placeholder>
          <w:docPart w:val="C77EC07E024A4291AA12CE5B8394494A"/>
        </w:placeholder>
      </w:sdtPr>
      <w:sdtContent>
        <w:p w14:paraId="2B38EA67" w14:textId="77777777" w:rsidR="009B6F95" w:rsidRPr="00A627DD" w:rsidRDefault="009B6F95" w:rsidP="00B84F31">
          <w:pPr>
            <w:ind w:left="0" w:firstLine="0"/>
          </w:pPr>
          <w:r w:rsidRPr="00C803F3">
            <w:rPr>
              <w:rStyle w:val="Style6"/>
            </w:rPr>
            <w:t>Summary</w:t>
          </w:r>
        </w:p>
      </w:sdtContent>
    </w:sdt>
    <w:p w14:paraId="7AAC1988" w14:textId="77777777" w:rsidR="00C001C0" w:rsidRDefault="00C001C0" w:rsidP="00C001C0">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The report outlines issues of interest to the Board not covered under the other items on the</w:t>
      </w:r>
    </w:p>
    <w:p w14:paraId="31B913BF" w14:textId="375C5F62" w:rsidR="009B6F95" w:rsidRDefault="00C001C0" w:rsidP="00C001C0">
      <w:pPr>
        <w:pStyle w:val="Title3"/>
      </w:pPr>
      <w:r>
        <w:rPr>
          <w:rFonts w:eastAsiaTheme="minorEastAsia" w:cs="Arial"/>
          <w:lang w:eastAsia="ja-JP"/>
        </w:rPr>
        <w:t>agenda.</w:t>
      </w:r>
    </w:p>
    <w:p w14:paraId="243742E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447E4108" wp14:editId="3A91AE9E">
                <wp:simplePos x="0" y="0"/>
                <wp:positionH relativeFrom="margin">
                  <wp:align>right</wp:align>
                </wp:positionH>
                <wp:positionV relativeFrom="paragraph">
                  <wp:posOffset>71120</wp:posOffset>
                </wp:positionV>
                <wp:extent cx="5705475" cy="1581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FDDD3B486A9843819ECA5FA9DAA0F4A0"/>
                              </w:placeholder>
                            </w:sdtPr>
                            <w:sdtContent>
                              <w:p w14:paraId="2E515D21" w14:textId="77777777" w:rsidR="000F69FB" w:rsidRPr="00A627DD" w:rsidRDefault="000F69FB" w:rsidP="00B84F31">
                                <w:pPr>
                                  <w:ind w:left="0" w:firstLine="0"/>
                                </w:pPr>
                                <w:r w:rsidRPr="00C803F3">
                                  <w:rPr>
                                    <w:rStyle w:val="Style6"/>
                                  </w:rPr>
                                  <w:t>Recommendation</w:t>
                                </w:r>
                              </w:p>
                            </w:sdtContent>
                          </w:sdt>
                          <w:p w14:paraId="2E126422" w14:textId="0B017725" w:rsidR="00C001C0" w:rsidRDefault="00C001C0" w:rsidP="00B84F31">
                            <w:pPr>
                              <w:ind w:left="0" w:firstLine="0"/>
                              <w:rPr>
                                <w:rFonts w:eastAsiaTheme="minorEastAsia" w:cs="Arial"/>
                                <w:lang w:eastAsia="ja-JP"/>
                              </w:rPr>
                            </w:pPr>
                            <w:r>
                              <w:rPr>
                                <w:rFonts w:eastAsiaTheme="minorEastAsia" w:cs="Arial"/>
                                <w:lang w:eastAsia="ja-JP"/>
                              </w:rPr>
                              <w:t>That members of the Board note and comment on the update.</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08123D" w:rsidP="00B84F31">
                            <w:pPr>
                              <w:ind w:left="0" w:firstLine="0"/>
                            </w:pPr>
                            <w:sdt>
                              <w:sdtPr>
                                <w:rPr>
                                  <w:rStyle w:val="Style6"/>
                                </w:rPr>
                                <w:alias w:val="Action/s"/>
                                <w:tag w:val="Action/s"/>
                                <w:id w:val="450136090"/>
                                <w:placeholder>
                                  <w:docPart w:val="0066C8BB8BBB4680A9ADF85ACD47A6B5"/>
                                </w:placeholder>
                              </w:sdtPr>
                              <w:sdtContent>
                                <w:r w:rsidR="000F69FB" w:rsidRPr="00C803F3">
                                  <w:rPr>
                                    <w:rStyle w:val="Style6"/>
                                  </w:rPr>
                                  <w:t>Action</w:t>
                                </w:r>
                              </w:sdtContent>
                            </w:sdt>
                          </w:p>
                          <w:p w14:paraId="009D8DB7" w14:textId="72740964" w:rsidR="000F69FB" w:rsidRDefault="00C001C0">
                            <w:r>
                              <w:rPr>
                                <w:rFonts w:eastAsiaTheme="minorEastAsia" w:cs="Arial"/>
                                <w:lang w:eastAsia="ja-JP"/>
                              </w:rPr>
                              <w:t>Officers to action any matters arising from the discussion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E410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FDDD3B486A9843819ECA5FA9DAA0F4A0"/>
                        </w:placeholder>
                      </w:sdtPr>
                      <w:sdtContent>
                        <w:p w14:paraId="2E515D21" w14:textId="77777777" w:rsidR="000F69FB" w:rsidRPr="00A627DD" w:rsidRDefault="000F69FB" w:rsidP="00B84F31">
                          <w:pPr>
                            <w:ind w:left="0" w:firstLine="0"/>
                          </w:pPr>
                          <w:r w:rsidRPr="00C803F3">
                            <w:rPr>
                              <w:rStyle w:val="Style6"/>
                            </w:rPr>
                            <w:t>Recommendation</w:t>
                          </w:r>
                        </w:p>
                      </w:sdtContent>
                    </w:sdt>
                    <w:p w14:paraId="2E126422" w14:textId="0B017725" w:rsidR="00C001C0" w:rsidRDefault="00C001C0" w:rsidP="00B84F31">
                      <w:pPr>
                        <w:ind w:left="0" w:firstLine="0"/>
                        <w:rPr>
                          <w:rFonts w:eastAsiaTheme="minorEastAsia" w:cs="Arial"/>
                          <w:lang w:eastAsia="ja-JP"/>
                        </w:rPr>
                      </w:pPr>
                      <w:r>
                        <w:rPr>
                          <w:rFonts w:eastAsiaTheme="minorEastAsia" w:cs="Arial"/>
                          <w:lang w:eastAsia="ja-JP"/>
                        </w:rPr>
                        <w:t>That members of the Board note and comment on the update.</w:t>
                      </w:r>
                    </w:p>
                    <w:p w14:paraId="5244745F" w14:textId="77777777" w:rsidR="00C001C0" w:rsidRDefault="00C001C0" w:rsidP="00B84F31">
                      <w:pPr>
                        <w:ind w:left="0" w:firstLine="0"/>
                        <w:rPr>
                          <w:rFonts w:eastAsiaTheme="minorEastAsia" w:cs="Arial"/>
                          <w:lang w:eastAsia="ja-JP"/>
                        </w:rPr>
                      </w:pPr>
                    </w:p>
                    <w:p w14:paraId="63EF219D" w14:textId="4D396632" w:rsidR="000F69FB" w:rsidRPr="00A627DD" w:rsidRDefault="0008123D" w:rsidP="00B84F31">
                      <w:pPr>
                        <w:ind w:left="0" w:firstLine="0"/>
                      </w:pPr>
                      <w:sdt>
                        <w:sdtPr>
                          <w:rPr>
                            <w:rStyle w:val="Style6"/>
                          </w:rPr>
                          <w:alias w:val="Action/s"/>
                          <w:tag w:val="Action/s"/>
                          <w:id w:val="450136090"/>
                          <w:placeholder>
                            <w:docPart w:val="0066C8BB8BBB4680A9ADF85ACD47A6B5"/>
                          </w:placeholder>
                        </w:sdtPr>
                        <w:sdtContent>
                          <w:r w:rsidR="000F69FB" w:rsidRPr="00C803F3">
                            <w:rPr>
                              <w:rStyle w:val="Style6"/>
                            </w:rPr>
                            <w:t>Action</w:t>
                          </w:r>
                        </w:sdtContent>
                      </w:sdt>
                    </w:p>
                    <w:p w14:paraId="009D8DB7" w14:textId="72740964" w:rsidR="000F69FB" w:rsidRDefault="00C001C0">
                      <w:r>
                        <w:rPr>
                          <w:rFonts w:eastAsiaTheme="minorEastAsia" w:cs="Arial"/>
                          <w:lang w:eastAsia="ja-JP"/>
                        </w:rPr>
                        <w:t>Officers to action any matters arising from the discussion as appropriate.</w:t>
                      </w:r>
                    </w:p>
                  </w:txbxContent>
                </v:textbox>
                <w10:wrap anchorx="margin"/>
              </v:shape>
            </w:pict>
          </mc:Fallback>
        </mc:AlternateContent>
      </w:r>
    </w:p>
    <w:p w14:paraId="770F754E" w14:textId="77777777" w:rsidR="009B6F95" w:rsidRDefault="009B6F95" w:rsidP="00B84F31">
      <w:pPr>
        <w:pStyle w:val="Title3"/>
      </w:pPr>
    </w:p>
    <w:p w14:paraId="2714312A" w14:textId="77777777" w:rsidR="009B6F95" w:rsidRDefault="009B6F95" w:rsidP="00B84F31">
      <w:pPr>
        <w:pStyle w:val="Title3"/>
      </w:pPr>
    </w:p>
    <w:p w14:paraId="4CAEED9A" w14:textId="77777777" w:rsidR="009B6F95" w:rsidRDefault="009B6F95" w:rsidP="00B84F31">
      <w:pPr>
        <w:pStyle w:val="Title3"/>
      </w:pPr>
    </w:p>
    <w:p w14:paraId="6DDE0283" w14:textId="77777777" w:rsidR="009B6F95" w:rsidRDefault="009B6F95" w:rsidP="00B84F31">
      <w:pPr>
        <w:pStyle w:val="Title3"/>
      </w:pPr>
    </w:p>
    <w:p w14:paraId="7913460F" w14:textId="77777777" w:rsidR="009B6F95" w:rsidRDefault="009B6F95" w:rsidP="00B84F31">
      <w:pPr>
        <w:pStyle w:val="Title3"/>
      </w:pPr>
    </w:p>
    <w:p w14:paraId="7373B1FF" w14:textId="77777777" w:rsidR="009B6F95" w:rsidRDefault="009B6F95" w:rsidP="00B84F31">
      <w:pPr>
        <w:pStyle w:val="Title3"/>
      </w:pPr>
    </w:p>
    <w:p w14:paraId="388069EA" w14:textId="77777777" w:rsidR="009B6F95" w:rsidRDefault="009B6F95" w:rsidP="00B84F31">
      <w:pPr>
        <w:pStyle w:val="Title3"/>
      </w:pPr>
    </w:p>
    <w:p w14:paraId="316C0D9A" w14:textId="77777777" w:rsidR="009B6F95" w:rsidRDefault="009B6F95" w:rsidP="00B84F31">
      <w:pPr>
        <w:pStyle w:val="Title3"/>
      </w:pPr>
    </w:p>
    <w:p w14:paraId="19528D63" w14:textId="77777777" w:rsidR="009B6F95" w:rsidRDefault="009B6F95" w:rsidP="00B84F31">
      <w:pPr>
        <w:pStyle w:val="Title3"/>
      </w:pPr>
    </w:p>
    <w:p w14:paraId="0F06CA89" w14:textId="77777777" w:rsidR="009B6F95" w:rsidRPr="00C803F3" w:rsidRDefault="0008123D" w:rsidP="000F69FB">
      <w:sdt>
        <w:sdtPr>
          <w:rPr>
            <w:rStyle w:val="Style2"/>
          </w:rPr>
          <w:id w:val="-1751574325"/>
          <w:lock w:val="contentLocked"/>
          <w:placeholder>
            <w:docPart w:val="252C40393D26469AA476759828964E47"/>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67279BFD64F4DE0B1D4F458693A0B15"/>
          </w:placeholder>
          <w:text w:multiLine="1"/>
        </w:sdtPr>
        <w:sdtContent>
          <w:r w:rsidR="002F7E12">
            <w:t>Mark Norris</w:t>
          </w:r>
        </w:sdtContent>
      </w:sdt>
    </w:p>
    <w:p w14:paraId="1294ACC2" w14:textId="77777777" w:rsidR="009B6F95" w:rsidRDefault="0008123D" w:rsidP="000F69FB">
      <w:sdt>
        <w:sdtPr>
          <w:rPr>
            <w:rStyle w:val="Style2"/>
          </w:rPr>
          <w:id w:val="1940027828"/>
          <w:lock w:val="contentLocked"/>
          <w:placeholder>
            <w:docPart w:val="4FC846F708414BA9896BBB90346AEC2D"/>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A0882CD63294286B2D351DEEE162E85"/>
          </w:placeholder>
          <w:text w:multiLine="1"/>
        </w:sdtPr>
        <w:sdtContent>
          <w:r w:rsidR="002F7E12">
            <w:t>Principal Policy Adviser</w:t>
          </w:r>
        </w:sdtContent>
      </w:sdt>
    </w:p>
    <w:p w14:paraId="6CB450C9" w14:textId="77777777" w:rsidR="009B6F95" w:rsidRDefault="0008123D" w:rsidP="000F69FB">
      <w:sdt>
        <w:sdtPr>
          <w:rPr>
            <w:rStyle w:val="Style2"/>
          </w:rPr>
          <w:id w:val="1040625228"/>
          <w:lock w:val="contentLocked"/>
          <w:placeholder>
            <w:docPart w:val="F3BDE3025F0146D4A4834B98359123CF"/>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06AF37C29A94264A56244E25E3D46DD"/>
          </w:placeholder>
          <w:text w:multiLine="1"/>
        </w:sdtPr>
        <w:sdtContent>
          <w:r w:rsidR="009B6F95" w:rsidRPr="00C803F3">
            <w:t>020</w:t>
          </w:r>
          <w:r w:rsidR="002F7E12">
            <w:t xml:space="preserve"> </w:t>
          </w:r>
          <w:r w:rsidR="009B6F95" w:rsidRPr="00C803F3">
            <w:t>7</w:t>
          </w:r>
          <w:r w:rsidR="002F7E12">
            <w:t>664 3241</w:t>
          </w:r>
        </w:sdtContent>
      </w:sdt>
      <w:r w:rsidR="009B6F95" w:rsidRPr="00B5377C">
        <w:t xml:space="preserve"> </w:t>
      </w:r>
    </w:p>
    <w:p w14:paraId="5C8C25B4" w14:textId="77777777" w:rsidR="009B6F95" w:rsidRDefault="0008123D" w:rsidP="00B84F31">
      <w:pPr>
        <w:pStyle w:val="Title3"/>
      </w:pPr>
      <w:sdt>
        <w:sdtPr>
          <w:rPr>
            <w:rStyle w:val="Style2"/>
          </w:rPr>
          <w:id w:val="614409820"/>
          <w:lock w:val="contentLocked"/>
          <w:placeholder>
            <w:docPart w:val="FEE7F05F7F5145D992AA075BA9DE5712"/>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BA752F70D547FCB0885AAAF06EC030"/>
          </w:placeholder>
          <w:text w:multiLine="1"/>
        </w:sdtPr>
        <w:sdtContent>
          <w:r w:rsidR="002F7E12">
            <w:t>mark.norris</w:t>
          </w:r>
          <w:r w:rsidR="009B6F95" w:rsidRPr="00C803F3">
            <w:t>@local.gov.uk</w:t>
          </w:r>
        </w:sdtContent>
      </w:sdt>
    </w:p>
    <w:p w14:paraId="078F5FCF" w14:textId="77777777" w:rsidR="009B6F95" w:rsidRPr="00E8118A" w:rsidRDefault="009B6F95" w:rsidP="00B84F31">
      <w:pPr>
        <w:pStyle w:val="Title3"/>
      </w:pPr>
    </w:p>
    <w:p w14:paraId="225B2D84" w14:textId="77777777" w:rsidR="009B6F95" w:rsidRPr="00C803F3" w:rsidRDefault="009B6F95" w:rsidP="00B84F31">
      <w:pPr>
        <w:pStyle w:val="Title3"/>
      </w:pPr>
      <w:r w:rsidRPr="00C803F3">
        <w:t xml:space="preserve"> </w:t>
      </w:r>
    </w:p>
    <w:p w14:paraId="1EEDE5F7" w14:textId="77777777" w:rsidR="009B6F95" w:rsidRPr="00C803F3" w:rsidRDefault="009B6F95"/>
    <w:p w14:paraId="279BF35F" w14:textId="77777777" w:rsidR="009B6F95" w:rsidRPr="00C803F3" w:rsidRDefault="009B6F95"/>
    <w:p w14:paraId="2895297A" w14:textId="77777777" w:rsidR="00C001C0" w:rsidRDefault="00C001C0" w:rsidP="001C3D70">
      <w:pPr>
        <w:pStyle w:val="Title1"/>
        <w:ind w:left="0" w:firstLine="0"/>
      </w:pPr>
    </w:p>
    <w:p w14:paraId="2EF2AD09" w14:textId="08809FCD" w:rsidR="00023739" w:rsidRDefault="00C001C0" w:rsidP="002B1158">
      <w:pPr>
        <w:pStyle w:val="Title1"/>
        <w:spacing w:after="0"/>
        <w:ind w:left="0" w:firstLine="0"/>
      </w:pPr>
      <w:r>
        <w:lastRenderedPageBreak/>
        <w:t>Update Pape</w:t>
      </w:r>
      <w:r w:rsidR="00DA5EE4">
        <w:t>r</w:t>
      </w:r>
    </w:p>
    <w:p w14:paraId="497F37AD" w14:textId="77777777" w:rsidR="002B1158" w:rsidRDefault="002B1158" w:rsidP="002B1158">
      <w:pPr>
        <w:pStyle w:val="Title1"/>
        <w:spacing w:after="0"/>
        <w:ind w:left="0" w:firstLine="0"/>
      </w:pPr>
    </w:p>
    <w:p w14:paraId="287F79D1" w14:textId="78DBEDE7" w:rsidR="001C33D9" w:rsidRDefault="001C33D9" w:rsidP="002B1158">
      <w:pPr>
        <w:spacing w:after="0"/>
        <w:rPr>
          <w:rFonts w:cs="Arial"/>
          <w:b/>
          <w:bCs/>
        </w:rPr>
      </w:pPr>
      <w:r w:rsidRPr="001C33D9">
        <w:rPr>
          <w:rFonts w:cs="Arial"/>
          <w:b/>
          <w:bCs/>
        </w:rPr>
        <w:t>Serious Violence Reduction Orders consultation</w:t>
      </w:r>
    </w:p>
    <w:p w14:paraId="28429F85" w14:textId="77777777" w:rsidR="002B1158" w:rsidRPr="001C33D9" w:rsidRDefault="002B1158" w:rsidP="002B1158">
      <w:pPr>
        <w:spacing w:after="0"/>
        <w:rPr>
          <w:rFonts w:cs="Arial"/>
          <w:b/>
          <w:bCs/>
        </w:rPr>
      </w:pPr>
    </w:p>
    <w:p w14:paraId="3D710F15" w14:textId="1006CB99" w:rsidR="001C33D9" w:rsidRDefault="001C33D9" w:rsidP="002B1158">
      <w:pPr>
        <w:pStyle w:val="ListParagraph"/>
        <w:numPr>
          <w:ilvl w:val="0"/>
          <w:numId w:val="31"/>
        </w:numPr>
        <w:spacing w:after="0"/>
        <w:rPr>
          <w:rFonts w:cs="Arial"/>
        </w:rPr>
      </w:pPr>
      <w:r w:rsidRPr="001C33D9">
        <w:rPr>
          <w:rFonts w:cs="Arial"/>
        </w:rPr>
        <w:t xml:space="preserve">The LGA has submitted a response to the Government’s </w:t>
      </w:r>
      <w:hyperlink r:id="rId10" w:history="1">
        <w:r w:rsidRPr="001C33D9">
          <w:rPr>
            <w:rStyle w:val="Hyperlink"/>
            <w:rFonts w:cs="Arial"/>
          </w:rPr>
          <w:t>consultation</w:t>
        </w:r>
      </w:hyperlink>
      <w:r w:rsidRPr="001C33D9">
        <w:rPr>
          <w:rFonts w:cs="Arial"/>
        </w:rPr>
        <w:t xml:space="preserve"> on Serious Violence Reduction Orders (SVROs), a proposed new court order to target known knife and offensive weapon carriers. The proposed Serious Violence Reduction Orders would give the police personalised powers to target those already convicted of certain knife offences – giving them the automatic right to search those who pose the greatest risk. These searches could take place without suspicion so that these known criminals could be stopped at any time. </w:t>
      </w:r>
    </w:p>
    <w:p w14:paraId="6FBD5C02" w14:textId="77777777" w:rsidR="0087548B" w:rsidRPr="001C33D9" w:rsidRDefault="0087548B" w:rsidP="002B1158">
      <w:pPr>
        <w:pStyle w:val="ListParagraph"/>
        <w:numPr>
          <w:ilvl w:val="0"/>
          <w:numId w:val="0"/>
        </w:numPr>
        <w:spacing w:after="0"/>
        <w:ind w:left="644"/>
        <w:rPr>
          <w:rFonts w:cs="Arial"/>
        </w:rPr>
      </w:pPr>
    </w:p>
    <w:p w14:paraId="355C6F66" w14:textId="1EEE7AAC" w:rsidR="001C33D9" w:rsidRDefault="001C33D9" w:rsidP="002B1158">
      <w:pPr>
        <w:pStyle w:val="ListParagraph"/>
        <w:numPr>
          <w:ilvl w:val="0"/>
          <w:numId w:val="31"/>
        </w:numPr>
        <w:spacing w:after="0"/>
        <w:rPr>
          <w:rFonts w:cs="Arial"/>
        </w:rPr>
      </w:pPr>
      <w:r w:rsidRPr="001C33D9">
        <w:rPr>
          <w:rFonts w:cs="Arial"/>
        </w:rPr>
        <w:t xml:space="preserve">The LGA has also published a </w:t>
      </w:r>
      <w:hyperlink r:id="rId11" w:history="1">
        <w:r w:rsidRPr="001C33D9">
          <w:rPr>
            <w:rStyle w:val="Hyperlink"/>
            <w:rFonts w:cs="Arial"/>
          </w:rPr>
          <w:t>case studies document</w:t>
        </w:r>
      </w:hyperlink>
      <w:r w:rsidRPr="001C33D9">
        <w:rPr>
          <w:rFonts w:cs="Arial"/>
        </w:rPr>
        <w:t xml:space="preserve"> on ‘Taking a public health approach to tackling serious violent crime’. The document contains case studies on councils working in partnership to deliver early interventions which help to prevent children and young people from becoming involved in serious violent crime. </w:t>
      </w:r>
    </w:p>
    <w:p w14:paraId="3DE4EBA8" w14:textId="77777777" w:rsidR="002B1158" w:rsidRPr="001C33D9" w:rsidRDefault="002B1158" w:rsidP="002B1158">
      <w:pPr>
        <w:pStyle w:val="ListParagraph"/>
        <w:numPr>
          <w:ilvl w:val="0"/>
          <w:numId w:val="0"/>
        </w:numPr>
        <w:spacing w:after="0"/>
        <w:ind w:left="644"/>
        <w:rPr>
          <w:rFonts w:cs="Arial"/>
        </w:rPr>
      </w:pPr>
    </w:p>
    <w:p w14:paraId="362A5C92" w14:textId="0233B8D7" w:rsidR="001C33D9" w:rsidRDefault="001C33D9" w:rsidP="002B1158">
      <w:pPr>
        <w:spacing w:after="0"/>
        <w:rPr>
          <w:rFonts w:cs="Arial"/>
          <w:b/>
          <w:bCs/>
        </w:rPr>
      </w:pPr>
      <w:r w:rsidRPr="001C33D9">
        <w:rPr>
          <w:rFonts w:cs="Arial"/>
          <w:b/>
          <w:bCs/>
        </w:rPr>
        <w:t>MHCLG workshops on domestic abuse accommodation support and services</w:t>
      </w:r>
      <w:r w:rsidR="00854818">
        <w:rPr>
          <w:rFonts w:cs="Arial"/>
          <w:b/>
          <w:bCs/>
        </w:rPr>
        <w:t xml:space="preserve">  </w:t>
      </w:r>
    </w:p>
    <w:p w14:paraId="1546D019" w14:textId="77777777" w:rsidR="002B1158" w:rsidRPr="001C33D9" w:rsidRDefault="002B1158" w:rsidP="002B1158">
      <w:pPr>
        <w:spacing w:after="0"/>
        <w:rPr>
          <w:rFonts w:cs="Arial"/>
          <w:b/>
          <w:bCs/>
        </w:rPr>
      </w:pPr>
    </w:p>
    <w:p w14:paraId="122E0F94" w14:textId="58AA0734" w:rsidR="001C33D9" w:rsidRDefault="001C33D9" w:rsidP="002B1158">
      <w:pPr>
        <w:pStyle w:val="ListParagraph"/>
        <w:numPr>
          <w:ilvl w:val="0"/>
          <w:numId w:val="31"/>
        </w:numPr>
        <w:spacing w:after="0"/>
        <w:rPr>
          <w:rFonts w:cs="Arial"/>
        </w:rPr>
      </w:pPr>
      <w:r w:rsidRPr="001C33D9">
        <w:rPr>
          <w:rFonts w:cs="Arial"/>
        </w:rPr>
        <w:t>The LGA jointly hosted a second series of workshops with the Ministry of Housing, Communities and Local Government to discuss the new statutory duty proposed in the Domestic Abuse Bill, which will be placed on Tier 1 local authorities</w:t>
      </w:r>
      <w:r w:rsidR="00854818">
        <w:rPr>
          <w:rFonts w:cs="Arial"/>
        </w:rPr>
        <w:t>,</w:t>
      </w:r>
      <w:r w:rsidRPr="001C33D9">
        <w:rPr>
          <w:rFonts w:cs="Arial"/>
        </w:rPr>
        <w:t xml:space="preserve"> to commission domestic abuse accommodation support and services. Officers working in housing, domestic abuse services and community safety joined the workshop sessions to share their views on the duty and discussed what the challenges and opportunities would be locally. There were also discussions about how the new </w:t>
      </w:r>
      <w:hyperlink r:id="rId12" w:history="1">
        <w:r w:rsidRPr="001C33D9">
          <w:rPr>
            <w:rStyle w:val="Hyperlink"/>
            <w:rFonts w:cs="Arial"/>
          </w:rPr>
          <w:t>£6 million Building Capacity Fund</w:t>
        </w:r>
      </w:hyperlink>
      <w:r w:rsidRPr="001C33D9">
        <w:rPr>
          <w:rFonts w:cs="Arial"/>
        </w:rPr>
        <w:t xml:space="preserve"> could be used leading up to the new statutory duty coming into place</w:t>
      </w:r>
      <w:r w:rsidR="00854818">
        <w:rPr>
          <w:rFonts w:cs="Arial"/>
        </w:rPr>
        <w:t xml:space="preserve"> to help councils prepare for the work</w:t>
      </w:r>
      <w:r w:rsidRPr="001C33D9">
        <w:rPr>
          <w:rFonts w:cs="Arial"/>
        </w:rPr>
        <w:t xml:space="preserve">. </w:t>
      </w:r>
    </w:p>
    <w:p w14:paraId="0DE3489C" w14:textId="77777777" w:rsidR="002B1158" w:rsidRPr="001C33D9" w:rsidRDefault="002B1158" w:rsidP="002B1158">
      <w:pPr>
        <w:pStyle w:val="ListParagraph"/>
        <w:numPr>
          <w:ilvl w:val="0"/>
          <w:numId w:val="0"/>
        </w:numPr>
        <w:spacing w:after="0"/>
        <w:ind w:left="644"/>
        <w:rPr>
          <w:rFonts w:cs="Arial"/>
        </w:rPr>
      </w:pPr>
    </w:p>
    <w:p w14:paraId="0C185FA2" w14:textId="63653FAB" w:rsidR="001C33D9" w:rsidRDefault="001C33D9" w:rsidP="002B1158">
      <w:pPr>
        <w:spacing w:after="0"/>
        <w:rPr>
          <w:rFonts w:cs="Arial"/>
          <w:b/>
          <w:bCs/>
        </w:rPr>
      </w:pPr>
      <w:r w:rsidRPr="001C33D9">
        <w:rPr>
          <w:rFonts w:cs="Arial"/>
          <w:b/>
          <w:bCs/>
        </w:rPr>
        <w:t>MHCLG consultation on allocation methods for the associated New Burdens Funding</w:t>
      </w:r>
    </w:p>
    <w:p w14:paraId="3E486966" w14:textId="77777777" w:rsidR="002B1158" w:rsidRPr="001C33D9" w:rsidRDefault="002B1158" w:rsidP="002B1158">
      <w:pPr>
        <w:spacing w:after="0"/>
        <w:rPr>
          <w:rFonts w:cs="Arial"/>
          <w:b/>
          <w:bCs/>
        </w:rPr>
      </w:pPr>
    </w:p>
    <w:p w14:paraId="1E198C8A" w14:textId="572F1833" w:rsidR="001C33D9" w:rsidRDefault="001C33D9" w:rsidP="002B1158">
      <w:pPr>
        <w:pStyle w:val="ListParagraph"/>
        <w:numPr>
          <w:ilvl w:val="0"/>
          <w:numId w:val="31"/>
        </w:numPr>
        <w:spacing w:after="0"/>
        <w:rPr>
          <w:rFonts w:cs="Arial"/>
        </w:rPr>
      </w:pPr>
      <w:r w:rsidRPr="001C33D9">
        <w:rPr>
          <w:rFonts w:cs="Arial"/>
        </w:rPr>
        <w:t xml:space="preserve">The Ministry of House, Communities and Local Government has also launched a </w:t>
      </w:r>
      <w:hyperlink r:id="rId13" w:history="1">
        <w:r w:rsidRPr="001C33D9">
          <w:rPr>
            <w:rStyle w:val="Hyperlink"/>
            <w:rFonts w:cs="Arial"/>
          </w:rPr>
          <w:t>consultation</w:t>
        </w:r>
      </w:hyperlink>
      <w:r w:rsidRPr="001C33D9">
        <w:rPr>
          <w:rFonts w:cs="Arial"/>
        </w:rPr>
        <w:t xml:space="preserve"> on the Government’s proposals for the allocation of new burdens funding to support the delivery of the new duty. Our LGA response to the consultation will be made available shortly. The deadline for responses is 13 November 2020.</w:t>
      </w:r>
    </w:p>
    <w:p w14:paraId="44C05191" w14:textId="77777777" w:rsidR="001A14CB" w:rsidRPr="001C33D9" w:rsidRDefault="001A14CB" w:rsidP="001A14CB">
      <w:pPr>
        <w:pStyle w:val="ListParagraph"/>
        <w:numPr>
          <w:ilvl w:val="0"/>
          <w:numId w:val="0"/>
        </w:numPr>
        <w:spacing w:after="0"/>
        <w:ind w:left="644"/>
        <w:rPr>
          <w:rFonts w:cs="Arial"/>
        </w:rPr>
      </w:pPr>
    </w:p>
    <w:p w14:paraId="553156EF" w14:textId="2105F6E1" w:rsidR="001C33D9" w:rsidRDefault="001C33D9" w:rsidP="002B1158">
      <w:pPr>
        <w:spacing w:after="0"/>
        <w:rPr>
          <w:rFonts w:cs="Arial"/>
          <w:b/>
          <w:bCs/>
        </w:rPr>
      </w:pPr>
      <w:r w:rsidRPr="001C33D9">
        <w:rPr>
          <w:rFonts w:cs="Arial"/>
          <w:b/>
          <w:bCs/>
        </w:rPr>
        <w:t>Tackling Anti-Social Behaviour</w:t>
      </w:r>
    </w:p>
    <w:p w14:paraId="7CDCC8FC" w14:textId="77777777" w:rsidR="001A14CB" w:rsidRPr="001C33D9" w:rsidRDefault="001A14CB" w:rsidP="002B1158">
      <w:pPr>
        <w:spacing w:after="0"/>
        <w:rPr>
          <w:rFonts w:cs="Arial"/>
          <w:b/>
          <w:bCs/>
        </w:rPr>
      </w:pPr>
    </w:p>
    <w:p w14:paraId="60E0EFA1" w14:textId="6E6F85E2" w:rsidR="001C33D9" w:rsidRPr="001C33D9" w:rsidRDefault="001C33D9" w:rsidP="002B1158">
      <w:pPr>
        <w:pStyle w:val="ListParagraph"/>
        <w:numPr>
          <w:ilvl w:val="0"/>
          <w:numId w:val="31"/>
        </w:numPr>
        <w:spacing w:after="0"/>
        <w:rPr>
          <w:rStyle w:val="Hyperlink"/>
          <w:rFonts w:cs="Arial"/>
          <w:color w:val="0563C1" w:themeColor="hyperlink"/>
        </w:rPr>
      </w:pPr>
      <w:r w:rsidRPr="001C33D9">
        <w:rPr>
          <w:rFonts w:cs="Arial"/>
        </w:rPr>
        <w:t xml:space="preserve">Chair of the LGA’s Safer and Stronger Communities Board, Cllr Nesil Caliskan, chaired an LGA webinar on ‘Tackling Anti-Social Behaviour during the COVID-19 pandemic’, attended by over 280 delegates. Our </w:t>
      </w:r>
      <w:r w:rsidR="00854818">
        <w:rPr>
          <w:rFonts w:cs="Arial"/>
        </w:rPr>
        <w:t xml:space="preserve">keynote </w:t>
      </w:r>
      <w:r w:rsidRPr="001C33D9">
        <w:rPr>
          <w:rFonts w:cs="Arial"/>
        </w:rPr>
        <w:t xml:space="preserve">speaker was Dame Vera Baird, the Victims Commissioner for England and Wales, who highlighted the </w:t>
      </w:r>
      <w:r w:rsidRPr="001C33D9">
        <w:rPr>
          <w:rFonts w:cs="Arial"/>
        </w:rPr>
        <w:lastRenderedPageBreak/>
        <w:t>importance of improving the community trigger process. We also had speakers from the National Police Chiefs</w:t>
      </w:r>
      <w:r w:rsidR="00854818">
        <w:rPr>
          <w:rFonts w:cs="Arial"/>
        </w:rPr>
        <w:t>’</w:t>
      </w:r>
      <w:r w:rsidRPr="001C33D9">
        <w:rPr>
          <w:rFonts w:cs="Arial"/>
        </w:rPr>
        <w:t xml:space="preserve"> Council, the Association of Police and Crime Commissioners and local government representatives. A recording of the session and the presentations are </w:t>
      </w:r>
      <w:hyperlink r:id="rId14" w:history="1">
        <w:r w:rsidRPr="001C33D9">
          <w:rPr>
            <w:rStyle w:val="Hyperlink"/>
            <w:rFonts w:cs="Arial"/>
          </w:rPr>
          <w:t>available here.</w:t>
        </w:r>
      </w:hyperlink>
    </w:p>
    <w:p w14:paraId="2D287114" w14:textId="77777777" w:rsidR="001C33D9" w:rsidRPr="001C33D9" w:rsidRDefault="001C33D9" w:rsidP="002B1158">
      <w:pPr>
        <w:pStyle w:val="ListParagraph"/>
        <w:numPr>
          <w:ilvl w:val="0"/>
          <w:numId w:val="0"/>
        </w:numPr>
        <w:spacing w:after="0"/>
        <w:ind w:left="644"/>
        <w:rPr>
          <w:rFonts w:cs="Arial"/>
          <w:color w:val="0563C1" w:themeColor="hyperlink"/>
          <w:u w:val="single"/>
        </w:rPr>
      </w:pPr>
    </w:p>
    <w:p w14:paraId="3055E767" w14:textId="3D17750A" w:rsidR="001C33D9" w:rsidRDefault="001C33D9" w:rsidP="002B1158">
      <w:pPr>
        <w:pStyle w:val="ListParagraph"/>
        <w:numPr>
          <w:ilvl w:val="0"/>
          <w:numId w:val="31"/>
        </w:numPr>
        <w:spacing w:after="0"/>
        <w:rPr>
          <w:rFonts w:cs="Arial"/>
        </w:rPr>
      </w:pPr>
      <w:r w:rsidRPr="001C33D9">
        <w:rPr>
          <w:rFonts w:cs="Arial"/>
        </w:rPr>
        <w:t xml:space="preserve">The LGA continues its work with the Home Office’s Anti-Social Behaviour Advisory Board and we have commissioned a series of local government best practice case studies on tackling anti-social behaviour, which will be available in early 2021. </w:t>
      </w:r>
    </w:p>
    <w:p w14:paraId="47F1E676" w14:textId="77777777" w:rsidR="001A14CB" w:rsidRPr="001C33D9" w:rsidRDefault="001A14CB" w:rsidP="001A14CB">
      <w:pPr>
        <w:pStyle w:val="ListParagraph"/>
        <w:numPr>
          <w:ilvl w:val="0"/>
          <w:numId w:val="0"/>
        </w:numPr>
        <w:spacing w:after="0"/>
        <w:ind w:left="644"/>
        <w:rPr>
          <w:rFonts w:cs="Arial"/>
        </w:rPr>
      </w:pPr>
    </w:p>
    <w:p w14:paraId="6A9B342E" w14:textId="07E17D32" w:rsidR="001C33D9" w:rsidRDefault="001C33D9" w:rsidP="002B1158">
      <w:pPr>
        <w:spacing w:after="0"/>
        <w:rPr>
          <w:rFonts w:cs="Arial"/>
          <w:b/>
          <w:bCs/>
        </w:rPr>
      </w:pPr>
      <w:r w:rsidRPr="001C33D9">
        <w:rPr>
          <w:rFonts w:cs="Arial"/>
          <w:b/>
          <w:bCs/>
        </w:rPr>
        <w:t>Police and Crime Panels Workshop</w:t>
      </w:r>
    </w:p>
    <w:p w14:paraId="708CA55A" w14:textId="77777777" w:rsidR="001A14CB" w:rsidRPr="001C33D9" w:rsidRDefault="001A14CB" w:rsidP="002B1158">
      <w:pPr>
        <w:spacing w:after="0"/>
        <w:rPr>
          <w:rFonts w:cs="Arial"/>
          <w:b/>
          <w:bCs/>
        </w:rPr>
      </w:pPr>
    </w:p>
    <w:p w14:paraId="09B965B5" w14:textId="5EB064C1" w:rsidR="001C33D9" w:rsidRDefault="001C33D9" w:rsidP="002B1158">
      <w:pPr>
        <w:pStyle w:val="ListParagraph"/>
        <w:numPr>
          <w:ilvl w:val="0"/>
          <w:numId w:val="31"/>
        </w:numPr>
        <w:spacing w:after="0"/>
        <w:rPr>
          <w:rFonts w:cs="Arial"/>
        </w:rPr>
      </w:pPr>
      <w:r w:rsidRPr="001C33D9">
        <w:rPr>
          <w:rFonts w:cs="Arial"/>
        </w:rPr>
        <w:t>Councillor Katrina Wood, Vice-Chair of the LGA’s Safer and Stronger Communities Board, chaired a Police and Crime Panels workshop session</w:t>
      </w:r>
      <w:r w:rsidR="00854818">
        <w:rPr>
          <w:rFonts w:cs="Arial"/>
        </w:rPr>
        <w:t xml:space="preserve"> in September</w:t>
      </w:r>
      <w:r w:rsidRPr="001C33D9">
        <w:rPr>
          <w:rFonts w:cs="Arial"/>
        </w:rPr>
        <w:t xml:space="preserve">. This workshop provided an opportunity to share best practice, reflect on the changes to panels and procedures during COVID-19, and look ahead to the forthcoming PCC elections. We had speakers from the Association of Police and Crime Commissioners, the Home Office and the National Association of Police, Fire and Crime Panels. </w:t>
      </w:r>
    </w:p>
    <w:p w14:paraId="30163215" w14:textId="77777777" w:rsidR="001A14CB" w:rsidRPr="001C33D9" w:rsidRDefault="001A14CB" w:rsidP="001A14CB">
      <w:pPr>
        <w:pStyle w:val="ListParagraph"/>
        <w:numPr>
          <w:ilvl w:val="0"/>
          <w:numId w:val="0"/>
        </w:numPr>
        <w:spacing w:after="0"/>
        <w:ind w:left="644"/>
        <w:rPr>
          <w:rFonts w:cs="Arial"/>
        </w:rPr>
      </w:pPr>
    </w:p>
    <w:p w14:paraId="1104CC84" w14:textId="5E8C0DAB" w:rsidR="00F73F0F" w:rsidRDefault="00F73F0F" w:rsidP="002B1158">
      <w:pPr>
        <w:spacing w:after="0"/>
        <w:rPr>
          <w:rFonts w:cs="Arial"/>
          <w:b/>
          <w:bCs/>
        </w:rPr>
      </w:pPr>
      <w:r>
        <w:rPr>
          <w:rFonts w:cs="Arial"/>
          <w:b/>
          <w:bCs/>
        </w:rPr>
        <w:t>The Special Interest Group on Countering Extremism</w:t>
      </w:r>
    </w:p>
    <w:p w14:paraId="3DF5423F" w14:textId="77777777" w:rsidR="001A14CB" w:rsidRDefault="001A14CB" w:rsidP="002B1158">
      <w:pPr>
        <w:spacing w:after="0"/>
        <w:rPr>
          <w:rFonts w:cs="Arial"/>
          <w:b/>
          <w:bCs/>
        </w:rPr>
      </w:pPr>
    </w:p>
    <w:p w14:paraId="62589678" w14:textId="23E718A9" w:rsidR="00F73F0F" w:rsidRPr="001C33D9" w:rsidRDefault="00F73F0F" w:rsidP="002B1158">
      <w:pPr>
        <w:pStyle w:val="ListParagraph"/>
        <w:numPr>
          <w:ilvl w:val="0"/>
          <w:numId w:val="31"/>
        </w:numPr>
        <w:spacing w:after="0"/>
        <w:rPr>
          <w:rFonts w:cs="Arial"/>
          <w:color w:val="000000"/>
        </w:rPr>
      </w:pPr>
      <w:r w:rsidRPr="001C33D9">
        <w:rPr>
          <w:rFonts w:cs="Arial"/>
          <w:color w:val="000000"/>
        </w:rPr>
        <w:t>Since 2017, we have been working closely with the Special Interest Group on Countering Extremism (SIGCE); a local authority led network chaired by Leeds and Luton Councils which seeks to provide support, and develop and share good practice in countering extremism across councils in England and Wales. It has achieved considerable successes in supporting councils, and wider partners, in their work to counter extremism and respond to the many new extremism challenges councils have been facing.</w:t>
      </w:r>
    </w:p>
    <w:p w14:paraId="453CCD28" w14:textId="77777777" w:rsidR="00F73F0F" w:rsidRPr="00F73F0F" w:rsidRDefault="00F73F0F" w:rsidP="002B1158">
      <w:pPr>
        <w:pStyle w:val="ListParagraph"/>
        <w:numPr>
          <w:ilvl w:val="0"/>
          <w:numId w:val="0"/>
        </w:numPr>
        <w:spacing w:after="0"/>
        <w:ind w:left="720"/>
        <w:rPr>
          <w:rFonts w:cs="Arial"/>
          <w:color w:val="000000"/>
        </w:rPr>
      </w:pPr>
    </w:p>
    <w:p w14:paraId="359F8FB8" w14:textId="78F32110" w:rsidR="001A14CB" w:rsidRDefault="00F73F0F" w:rsidP="001A14CB">
      <w:pPr>
        <w:pStyle w:val="ListParagraph"/>
        <w:numPr>
          <w:ilvl w:val="0"/>
          <w:numId w:val="31"/>
        </w:numPr>
        <w:spacing w:after="0"/>
        <w:rPr>
          <w:rFonts w:cs="Arial"/>
        </w:rPr>
      </w:pPr>
      <w:r w:rsidRPr="00F73F0F">
        <w:rPr>
          <w:rFonts w:cs="Arial"/>
          <w:color w:val="000000"/>
        </w:rPr>
        <w:t xml:space="preserve">Central government funding for the SIGCE came to an end in January 2020 and we recently received notice that it will not be renewed pending further decisions about national counter-extremism policy direction. In recognition of the challenges that extremism and cohesion issues continue to pose for local authorities, we have recently agreed to sustain the network until at least March 2021, and have developed a work programme with SIGCE colleagues for the next 6 months. </w:t>
      </w:r>
      <w:r w:rsidRPr="00F73F0F">
        <w:rPr>
          <w:rFonts w:cs="Arial"/>
        </w:rPr>
        <w:t xml:space="preserve">This includes providing support for councils through a series of ongoing topical roundtables, thematic webinars, training, facilitation of an online Knowledge Hub, development of a number of case studies; bespoke support to councils facing specific current extremism challenges; reconvening regional elected member networks in the North of England and East of England; and continuing with the work of SIGCE working groups focussing on Far-Right extremism and Faith-based extremism respectively. </w:t>
      </w:r>
    </w:p>
    <w:p w14:paraId="22484BF0" w14:textId="20ECB84F" w:rsidR="001A14CB" w:rsidRDefault="001A14CB" w:rsidP="001A14CB">
      <w:pPr>
        <w:pStyle w:val="ListParagraph"/>
        <w:numPr>
          <w:ilvl w:val="0"/>
          <w:numId w:val="0"/>
        </w:numPr>
        <w:spacing w:after="0"/>
        <w:ind w:left="360"/>
        <w:rPr>
          <w:rFonts w:cs="Arial"/>
        </w:rPr>
      </w:pPr>
    </w:p>
    <w:p w14:paraId="3467726F" w14:textId="7F9DEDF4" w:rsidR="001A14CB" w:rsidRDefault="001A14CB" w:rsidP="001A14CB">
      <w:pPr>
        <w:pStyle w:val="ListParagraph"/>
        <w:numPr>
          <w:ilvl w:val="0"/>
          <w:numId w:val="0"/>
        </w:numPr>
        <w:spacing w:after="0"/>
        <w:ind w:left="360"/>
        <w:rPr>
          <w:rFonts w:cs="Arial"/>
        </w:rPr>
      </w:pPr>
    </w:p>
    <w:p w14:paraId="68BE9D7A" w14:textId="77777777" w:rsidR="001A14CB" w:rsidRPr="001A14CB" w:rsidRDefault="001A14CB" w:rsidP="001A14CB">
      <w:pPr>
        <w:pStyle w:val="ListParagraph"/>
        <w:numPr>
          <w:ilvl w:val="0"/>
          <w:numId w:val="0"/>
        </w:numPr>
        <w:spacing w:after="0"/>
        <w:ind w:left="360"/>
        <w:rPr>
          <w:rFonts w:cs="Arial"/>
        </w:rPr>
      </w:pPr>
    </w:p>
    <w:p w14:paraId="78711443" w14:textId="73AC4AA0" w:rsidR="00F73F0F" w:rsidRDefault="00F73F0F" w:rsidP="002B1158">
      <w:pPr>
        <w:spacing w:after="0"/>
        <w:rPr>
          <w:rFonts w:cs="Arial"/>
          <w:b/>
          <w:bCs/>
        </w:rPr>
      </w:pPr>
      <w:r>
        <w:rPr>
          <w:rFonts w:cs="Arial"/>
          <w:b/>
          <w:bCs/>
        </w:rPr>
        <w:t>Law Commission consultation on hate crime legislation</w:t>
      </w:r>
    </w:p>
    <w:p w14:paraId="33B7DF40" w14:textId="77777777" w:rsidR="001A14CB" w:rsidRDefault="001A14CB" w:rsidP="002B1158">
      <w:pPr>
        <w:spacing w:after="0"/>
        <w:rPr>
          <w:rFonts w:cs="Arial"/>
          <w:b/>
          <w:bCs/>
        </w:rPr>
      </w:pPr>
    </w:p>
    <w:p w14:paraId="549D7248" w14:textId="3193CBDC" w:rsidR="00F73F0F" w:rsidRDefault="00F73F0F" w:rsidP="002B1158">
      <w:pPr>
        <w:pStyle w:val="ListParagraph"/>
        <w:numPr>
          <w:ilvl w:val="0"/>
          <w:numId w:val="31"/>
        </w:numPr>
        <w:spacing w:after="0"/>
        <w:rPr>
          <w:rFonts w:cs="Arial"/>
        </w:rPr>
      </w:pPr>
      <w:r w:rsidRPr="00F73F0F">
        <w:rPr>
          <w:rFonts w:cs="Arial"/>
        </w:rPr>
        <w:t xml:space="preserve">The Law Commission recently published a </w:t>
      </w:r>
      <w:hyperlink r:id="rId15" w:history="1">
        <w:r w:rsidRPr="00F73F0F">
          <w:rPr>
            <w:rStyle w:val="Hyperlink"/>
            <w:rFonts w:cs="Arial"/>
          </w:rPr>
          <w:t>consultation on proposals to reform hate crime laws</w:t>
        </w:r>
      </w:hyperlink>
      <w:r w:rsidRPr="00F73F0F">
        <w:rPr>
          <w:rFonts w:cs="Arial"/>
        </w:rPr>
        <w:t xml:space="preserve">. This comes in response to a number of concerns about how hate crime laws work in practice, </w:t>
      </w:r>
      <w:r w:rsidR="00854818">
        <w:rPr>
          <w:rFonts w:cs="Arial"/>
        </w:rPr>
        <w:t>with laws</w:t>
      </w:r>
      <w:r w:rsidRPr="00F73F0F">
        <w:rPr>
          <w:rFonts w:cs="Arial"/>
        </w:rPr>
        <w:t xml:space="preserve"> regarded by some as complex, spread across different statutes and us</w:t>
      </w:r>
      <w:r w:rsidR="00854818">
        <w:rPr>
          <w:rFonts w:cs="Arial"/>
        </w:rPr>
        <w:t>ing</w:t>
      </w:r>
      <w:r w:rsidRPr="00F73F0F">
        <w:rPr>
          <w:rFonts w:cs="Arial"/>
        </w:rPr>
        <w:t xml:space="preserve"> multiple overlapping legal mechanisms. </w:t>
      </w:r>
    </w:p>
    <w:p w14:paraId="47B1FBCD" w14:textId="77777777" w:rsidR="00854818" w:rsidRPr="00F73F0F" w:rsidRDefault="00854818" w:rsidP="002B1158">
      <w:pPr>
        <w:pStyle w:val="ListParagraph"/>
        <w:numPr>
          <w:ilvl w:val="0"/>
          <w:numId w:val="0"/>
        </w:numPr>
        <w:spacing w:after="0"/>
        <w:ind w:left="644"/>
        <w:rPr>
          <w:rFonts w:cs="Arial"/>
        </w:rPr>
      </w:pPr>
    </w:p>
    <w:p w14:paraId="37361BB5" w14:textId="2FFC6F4B" w:rsidR="00F73F0F" w:rsidRDefault="00F73F0F" w:rsidP="002B1158">
      <w:pPr>
        <w:pStyle w:val="ListParagraph"/>
        <w:numPr>
          <w:ilvl w:val="0"/>
          <w:numId w:val="31"/>
        </w:numPr>
        <w:spacing w:after="0"/>
        <w:rPr>
          <w:rFonts w:cs="Arial"/>
        </w:rPr>
      </w:pPr>
      <w:r w:rsidRPr="00F73F0F">
        <w:rPr>
          <w:rFonts w:cs="Arial"/>
        </w:rPr>
        <w:t>The Law Commission’s proposals to improve hate crime laws include:</w:t>
      </w:r>
    </w:p>
    <w:p w14:paraId="0246704F" w14:textId="77777777" w:rsidR="001A14CB" w:rsidRPr="001A14CB" w:rsidRDefault="001A14CB" w:rsidP="00161376">
      <w:pPr>
        <w:pStyle w:val="ListParagraph"/>
        <w:numPr>
          <w:ilvl w:val="0"/>
          <w:numId w:val="0"/>
        </w:numPr>
        <w:spacing w:after="0"/>
        <w:ind w:left="360"/>
        <w:rPr>
          <w:rFonts w:cs="Arial"/>
        </w:rPr>
      </w:pPr>
    </w:p>
    <w:p w14:paraId="31D1C9A5" w14:textId="1457700B" w:rsidR="00F73F0F" w:rsidRPr="00854818" w:rsidRDefault="001C33D9" w:rsidP="00161376">
      <w:pPr>
        <w:pStyle w:val="ListParagraph"/>
        <w:numPr>
          <w:ilvl w:val="1"/>
          <w:numId w:val="32"/>
        </w:numPr>
        <w:spacing w:after="0"/>
        <w:ind w:left="1418"/>
        <w:rPr>
          <w:rFonts w:eastAsia="Times New Roman" w:cs="Arial"/>
        </w:rPr>
      </w:pPr>
      <w:r>
        <w:rPr>
          <w:rFonts w:eastAsia="Times New Roman"/>
        </w:rPr>
        <w:t xml:space="preserve"> </w:t>
      </w:r>
      <w:r w:rsidR="00F73F0F" w:rsidRPr="001C33D9">
        <w:rPr>
          <w:rFonts w:eastAsia="Times New Roman"/>
        </w:rPr>
        <w:t>Adding sex or gender to the protected characteristics under hate crime legislation</w:t>
      </w:r>
      <w:r w:rsidR="00854818">
        <w:rPr>
          <w:rFonts w:eastAsia="Times New Roman"/>
        </w:rPr>
        <w:t>.</w:t>
      </w:r>
    </w:p>
    <w:p w14:paraId="79720845" w14:textId="77777777" w:rsidR="00854818" w:rsidRPr="001C33D9" w:rsidRDefault="00854818" w:rsidP="00161376">
      <w:pPr>
        <w:pStyle w:val="ListParagraph"/>
        <w:numPr>
          <w:ilvl w:val="0"/>
          <w:numId w:val="0"/>
        </w:numPr>
        <w:spacing w:after="0"/>
        <w:ind w:left="1418"/>
        <w:rPr>
          <w:rFonts w:eastAsia="Times New Roman" w:cs="Arial"/>
        </w:rPr>
      </w:pPr>
    </w:p>
    <w:p w14:paraId="58317F14" w14:textId="7D347212" w:rsidR="00F73F0F" w:rsidRDefault="001C33D9" w:rsidP="00161376">
      <w:pPr>
        <w:pStyle w:val="ListParagraph"/>
        <w:numPr>
          <w:ilvl w:val="1"/>
          <w:numId w:val="32"/>
        </w:numPr>
        <w:spacing w:after="0"/>
        <w:ind w:left="1418"/>
        <w:contextualSpacing w:val="0"/>
        <w:rPr>
          <w:rFonts w:eastAsia="Times New Roman"/>
        </w:rPr>
      </w:pPr>
      <w:r>
        <w:rPr>
          <w:rFonts w:eastAsia="Times New Roman"/>
        </w:rPr>
        <w:t xml:space="preserve"> </w:t>
      </w:r>
      <w:r w:rsidR="00F73F0F">
        <w:rPr>
          <w:rFonts w:eastAsia="Times New Roman"/>
        </w:rPr>
        <w:t>Establishing criteria for deciding whether any additional characteristics should be recognised in hate crime laws, and consulting further on a range of other characteristics, notably “age</w:t>
      </w:r>
      <w:r w:rsidR="00854818">
        <w:rPr>
          <w:rFonts w:eastAsia="Times New Roman"/>
        </w:rPr>
        <w:t>.</w:t>
      </w:r>
      <w:r w:rsidR="00F73F0F">
        <w:rPr>
          <w:rFonts w:eastAsia="Times New Roman"/>
        </w:rPr>
        <w:t>”</w:t>
      </w:r>
    </w:p>
    <w:p w14:paraId="60090E94" w14:textId="77777777" w:rsidR="001A14CB" w:rsidRPr="001A14CB" w:rsidRDefault="001A14CB" w:rsidP="00161376">
      <w:pPr>
        <w:pStyle w:val="ListParagraph"/>
        <w:numPr>
          <w:ilvl w:val="0"/>
          <w:numId w:val="0"/>
        </w:numPr>
        <w:ind w:left="360"/>
        <w:rPr>
          <w:rFonts w:eastAsia="Times New Roman"/>
        </w:rPr>
      </w:pPr>
    </w:p>
    <w:p w14:paraId="7DE50EAF" w14:textId="1BE81778" w:rsidR="00F73F0F" w:rsidRDefault="001C33D9" w:rsidP="00161376">
      <w:pPr>
        <w:pStyle w:val="ListParagraph"/>
        <w:numPr>
          <w:ilvl w:val="1"/>
          <w:numId w:val="32"/>
        </w:numPr>
        <w:spacing w:after="0"/>
        <w:ind w:left="1418"/>
        <w:contextualSpacing w:val="0"/>
        <w:rPr>
          <w:rFonts w:eastAsia="Times New Roman"/>
        </w:rPr>
      </w:pPr>
      <w:r>
        <w:rPr>
          <w:rFonts w:eastAsia="Times New Roman"/>
        </w:rPr>
        <w:t xml:space="preserve"> </w:t>
      </w:r>
      <w:r w:rsidR="00F73F0F">
        <w:rPr>
          <w:rFonts w:eastAsia="Times New Roman"/>
        </w:rPr>
        <w:t>Extending the protections of aggravated offences and stirring up hatred offences to cover all current protected characteristics, but also any characteristics added in the future (including sex or gender), to ensure all characteristics are protected equally</w:t>
      </w:r>
      <w:r w:rsidR="00854818">
        <w:rPr>
          <w:rFonts w:eastAsia="Times New Roman"/>
        </w:rPr>
        <w:t>.</w:t>
      </w:r>
    </w:p>
    <w:p w14:paraId="31D921E6" w14:textId="77777777" w:rsidR="001A14CB" w:rsidRPr="001A14CB" w:rsidRDefault="001A14CB" w:rsidP="00161376">
      <w:pPr>
        <w:pStyle w:val="ListParagraph"/>
        <w:numPr>
          <w:ilvl w:val="0"/>
          <w:numId w:val="0"/>
        </w:numPr>
        <w:ind w:left="360"/>
        <w:rPr>
          <w:rFonts w:eastAsia="Times New Roman"/>
        </w:rPr>
      </w:pPr>
    </w:p>
    <w:p w14:paraId="57714968" w14:textId="27EDA82C" w:rsidR="00F73F0F" w:rsidRDefault="001C33D9" w:rsidP="00161376">
      <w:pPr>
        <w:pStyle w:val="ListParagraph"/>
        <w:numPr>
          <w:ilvl w:val="1"/>
          <w:numId w:val="32"/>
        </w:numPr>
        <w:spacing w:after="0"/>
        <w:ind w:left="1418"/>
        <w:contextualSpacing w:val="0"/>
        <w:rPr>
          <w:rFonts w:eastAsia="Times New Roman"/>
        </w:rPr>
      </w:pPr>
      <w:r>
        <w:rPr>
          <w:rFonts w:eastAsia="Times New Roman"/>
        </w:rPr>
        <w:t xml:space="preserve"> </w:t>
      </w:r>
      <w:r w:rsidR="00F73F0F">
        <w:rPr>
          <w:rFonts w:eastAsia="Times New Roman"/>
        </w:rPr>
        <w:t>Reformulating the offences of stirring up hatred to focus on deliberate incitement of hatred, providing greater protection for freedom of speech where no intent to incite hatred can be proven</w:t>
      </w:r>
      <w:r w:rsidR="00854818">
        <w:rPr>
          <w:rFonts w:eastAsia="Times New Roman"/>
        </w:rPr>
        <w:t>.</w:t>
      </w:r>
    </w:p>
    <w:p w14:paraId="6359600C" w14:textId="77777777" w:rsidR="001A14CB" w:rsidRPr="001A14CB" w:rsidRDefault="001A14CB" w:rsidP="00161376">
      <w:pPr>
        <w:pStyle w:val="ListParagraph"/>
        <w:numPr>
          <w:ilvl w:val="0"/>
          <w:numId w:val="0"/>
        </w:numPr>
        <w:ind w:left="360"/>
        <w:rPr>
          <w:rFonts w:eastAsia="Times New Roman"/>
        </w:rPr>
      </w:pPr>
    </w:p>
    <w:p w14:paraId="189C8691" w14:textId="5A9158BA" w:rsidR="001C33D9" w:rsidRDefault="001C33D9" w:rsidP="00161376">
      <w:pPr>
        <w:pStyle w:val="ListParagraph"/>
        <w:numPr>
          <w:ilvl w:val="1"/>
          <w:numId w:val="32"/>
        </w:numPr>
        <w:spacing w:after="0"/>
        <w:ind w:left="1418"/>
        <w:contextualSpacing w:val="0"/>
        <w:rPr>
          <w:rFonts w:eastAsia="Times New Roman"/>
        </w:rPr>
      </w:pPr>
      <w:r>
        <w:rPr>
          <w:rFonts w:eastAsia="Times New Roman"/>
        </w:rPr>
        <w:t xml:space="preserve"> </w:t>
      </w:r>
      <w:r w:rsidR="00F73F0F">
        <w:rPr>
          <w:rFonts w:eastAsia="Times New Roman"/>
        </w:rPr>
        <w:t>Expanding the offence of racist chanting at football matches to cover homophobic chanting, and other forms of behaviour, such as gestures and throwing missiles at players.</w:t>
      </w:r>
    </w:p>
    <w:p w14:paraId="1505C4BE" w14:textId="77777777" w:rsidR="00607033" w:rsidRPr="00607033" w:rsidRDefault="00607033" w:rsidP="00DB5382">
      <w:pPr>
        <w:pStyle w:val="ListParagraph"/>
        <w:numPr>
          <w:ilvl w:val="0"/>
          <w:numId w:val="0"/>
        </w:numPr>
        <w:spacing w:after="0" w:line="240" w:lineRule="auto"/>
        <w:ind w:left="1418"/>
        <w:contextualSpacing w:val="0"/>
        <w:rPr>
          <w:rFonts w:eastAsia="Times New Roman"/>
        </w:rPr>
      </w:pPr>
    </w:p>
    <w:p w14:paraId="6B66F632" w14:textId="20EBBC6A" w:rsidR="001C33D9" w:rsidRDefault="001C33D9" w:rsidP="00DB5382">
      <w:pPr>
        <w:spacing w:after="0"/>
        <w:rPr>
          <w:rFonts w:cs="Arial"/>
          <w:b/>
          <w:bCs/>
        </w:rPr>
      </w:pPr>
      <w:r>
        <w:rPr>
          <w:rFonts w:cs="Arial"/>
          <w:b/>
          <w:bCs/>
        </w:rPr>
        <w:t>CIEH Local Authority Workforce Survey</w:t>
      </w:r>
    </w:p>
    <w:p w14:paraId="0EA7E7C2" w14:textId="77777777" w:rsidR="001A14CB" w:rsidRDefault="001A14CB" w:rsidP="00DB5382">
      <w:pPr>
        <w:spacing w:after="0"/>
        <w:rPr>
          <w:rFonts w:cs="Arial"/>
        </w:rPr>
      </w:pPr>
    </w:p>
    <w:p w14:paraId="58C50CCC" w14:textId="5A8268EC" w:rsidR="001C33D9" w:rsidRDefault="001C33D9" w:rsidP="00DB5382">
      <w:pPr>
        <w:pStyle w:val="ListParagraph"/>
        <w:numPr>
          <w:ilvl w:val="0"/>
          <w:numId w:val="31"/>
        </w:numPr>
        <w:spacing w:after="0"/>
        <w:rPr>
          <w:rFonts w:cs="Arial"/>
        </w:rPr>
      </w:pPr>
      <w:r w:rsidRPr="001C33D9">
        <w:rPr>
          <w:rFonts w:cs="Arial"/>
        </w:rPr>
        <w:t xml:space="preserve">In October the Chartered Institute of Environmental Health (CIEH) </w:t>
      </w:r>
      <w:hyperlink r:id="rId16" w:history="1">
        <w:r w:rsidRPr="001C33D9">
          <w:t>launched a workforce survey</w:t>
        </w:r>
      </w:hyperlink>
      <w:r w:rsidRPr="001C33D9">
        <w:rPr>
          <w:rFonts w:cs="Arial"/>
        </w:rPr>
        <w:t xml:space="preserve"> aiming to find out more about the state of the environmental health workforce in local authorities. Whilst the COVID-19 pandemic has placed additional pressure on already stretched services, it has also highlighted the vital and wide-ranging role that environmental health practitioners play in keeping our communities safe and presented a real </w:t>
      </w:r>
      <w:r w:rsidRPr="001C33D9">
        <w:rPr>
          <w:rFonts w:cs="Arial"/>
          <w:color w:val="464B51"/>
          <w:shd w:val="clear" w:color="auto" w:fill="FFFFFF"/>
        </w:rPr>
        <w:t xml:space="preserve">opportunity </w:t>
      </w:r>
      <w:r w:rsidRPr="001C33D9">
        <w:rPr>
          <w:rFonts w:cs="Arial"/>
        </w:rPr>
        <w:t xml:space="preserve">to make the case for more funding and resources. The data collected as part of this survey will be a vital part of making that case to central government. </w:t>
      </w:r>
    </w:p>
    <w:p w14:paraId="58000857" w14:textId="77777777" w:rsidR="00DB5382" w:rsidRDefault="00DB5382" w:rsidP="00DB5382">
      <w:pPr>
        <w:pStyle w:val="ListParagraph"/>
        <w:numPr>
          <w:ilvl w:val="0"/>
          <w:numId w:val="0"/>
        </w:numPr>
        <w:spacing w:after="0"/>
        <w:ind w:left="644"/>
        <w:rPr>
          <w:rFonts w:cs="Arial"/>
        </w:rPr>
      </w:pPr>
    </w:p>
    <w:p w14:paraId="00E2FE1D" w14:textId="1F3B3C95" w:rsidR="00EF2811" w:rsidRDefault="00EF2811" w:rsidP="00DB5382">
      <w:pPr>
        <w:pStyle w:val="ListParagraph"/>
        <w:numPr>
          <w:ilvl w:val="0"/>
          <w:numId w:val="0"/>
        </w:numPr>
        <w:spacing w:after="0"/>
        <w:ind w:left="644"/>
        <w:rPr>
          <w:rFonts w:cs="Arial"/>
        </w:rPr>
      </w:pPr>
    </w:p>
    <w:p w14:paraId="3E8FF3C0" w14:textId="3386E701" w:rsidR="00EF2811" w:rsidRDefault="00EF2811" w:rsidP="00DB5382">
      <w:pPr>
        <w:pStyle w:val="ListParagraph"/>
        <w:numPr>
          <w:ilvl w:val="0"/>
          <w:numId w:val="0"/>
        </w:numPr>
        <w:spacing w:after="0"/>
        <w:ind w:left="644"/>
        <w:rPr>
          <w:rFonts w:cs="Arial"/>
        </w:rPr>
      </w:pPr>
    </w:p>
    <w:p w14:paraId="5958CFDA" w14:textId="77777777" w:rsidR="00EF2811" w:rsidRPr="00FD4D44" w:rsidRDefault="00EF2811" w:rsidP="00DB5382">
      <w:pPr>
        <w:pStyle w:val="ListParagraph"/>
        <w:numPr>
          <w:ilvl w:val="0"/>
          <w:numId w:val="0"/>
        </w:numPr>
        <w:spacing w:after="0"/>
        <w:ind w:left="644"/>
        <w:rPr>
          <w:rFonts w:cs="Arial"/>
        </w:rPr>
      </w:pPr>
    </w:p>
    <w:p w14:paraId="1A88D8A9" w14:textId="5A72A842" w:rsidR="001C33D9" w:rsidRDefault="001C33D9" w:rsidP="00DB5382">
      <w:pPr>
        <w:pStyle w:val="Heading2"/>
        <w:spacing w:before="0" w:beforeAutospacing="0" w:after="0" w:afterAutospacing="0"/>
        <w:rPr>
          <w:rFonts w:ascii="Arial" w:eastAsia="Times New Roman" w:hAnsi="Arial" w:cs="Arial"/>
          <w:color w:val="2D2D2D"/>
          <w:sz w:val="22"/>
          <w:szCs w:val="22"/>
        </w:rPr>
      </w:pPr>
      <w:r>
        <w:rPr>
          <w:rFonts w:ascii="Arial" w:eastAsia="Times New Roman" w:hAnsi="Arial" w:cs="Arial"/>
          <w:color w:val="2D2D2D"/>
          <w:sz w:val="22"/>
          <w:szCs w:val="22"/>
        </w:rPr>
        <w:t>Taxi licence register</w:t>
      </w:r>
    </w:p>
    <w:p w14:paraId="7BADE150" w14:textId="77777777" w:rsidR="001A14CB" w:rsidRDefault="001A14CB" w:rsidP="00DB5382">
      <w:pPr>
        <w:pStyle w:val="Heading2"/>
        <w:spacing w:before="0" w:beforeAutospacing="0" w:after="0" w:afterAutospacing="0"/>
        <w:rPr>
          <w:rFonts w:ascii="Arial" w:eastAsia="Times New Roman" w:hAnsi="Arial" w:cs="Arial"/>
          <w:color w:val="2D2D2D"/>
          <w:sz w:val="22"/>
          <w:szCs w:val="22"/>
        </w:rPr>
      </w:pPr>
    </w:p>
    <w:p w14:paraId="0EEC8A1D" w14:textId="1C715998" w:rsidR="001C33D9" w:rsidRDefault="001C33D9" w:rsidP="00DB5382">
      <w:pPr>
        <w:pStyle w:val="ListParagraph"/>
        <w:numPr>
          <w:ilvl w:val="0"/>
          <w:numId w:val="31"/>
        </w:numPr>
        <w:spacing w:after="0"/>
      </w:pPr>
      <w:r>
        <w:t>In October</w:t>
      </w:r>
      <w:r w:rsidR="000C5BCA">
        <w:t>,</w:t>
      </w:r>
      <w:r>
        <w:t xml:space="preserve"> the Department for Transport wrote to council licensing leads to encourage them to sign up to the National Register of Taxi and Private Hire Vehicle Licence Revocations and Refusals (NR3). </w:t>
      </w:r>
      <w:hyperlink r:id="rId17" w:history="1">
        <w:r w:rsidRPr="001C33D9">
          <w:rPr>
            <w:rStyle w:val="Hyperlink"/>
            <w:rFonts w:cs="Arial"/>
          </w:rPr>
          <w:t>The LGA commissioned NR3</w:t>
        </w:r>
      </w:hyperlink>
      <w:r>
        <w:t xml:space="preserve"> in 2018 and it provides a mechanism for licensing authorities to check if an applicant has had a licensed revoked or </w:t>
      </w:r>
      <w:r w:rsidR="006F7851">
        <w:t xml:space="preserve">an application for one </w:t>
      </w:r>
      <w:r>
        <w:t xml:space="preserve">refused elsewhere. We were pleased that the use of NR3 was one of a range of measures to protect passengers that was included in new Statutory Taxi and Private Hire Vehicle Standards published by the Government over the summer. We hope this will prompt more councils to sign up and start to use the register over the next few months. </w:t>
      </w:r>
    </w:p>
    <w:p w14:paraId="7F30F8EB" w14:textId="77777777" w:rsidR="001A14CB" w:rsidRDefault="001A14CB" w:rsidP="001A14CB">
      <w:pPr>
        <w:pStyle w:val="ListParagraph"/>
        <w:numPr>
          <w:ilvl w:val="0"/>
          <w:numId w:val="0"/>
        </w:numPr>
        <w:spacing w:after="0"/>
        <w:ind w:left="644"/>
      </w:pPr>
    </w:p>
    <w:p w14:paraId="237B2F49" w14:textId="14CA3AF9" w:rsidR="001C33D9" w:rsidRDefault="001C33D9" w:rsidP="00204CF2">
      <w:pPr>
        <w:spacing w:after="0"/>
        <w:rPr>
          <w:rFonts w:cs="Arial"/>
          <w:b/>
          <w:bCs/>
        </w:rPr>
      </w:pPr>
      <w:r>
        <w:rPr>
          <w:rFonts w:cs="Arial"/>
          <w:b/>
          <w:bCs/>
        </w:rPr>
        <w:t xml:space="preserve">Metal and Waste Crime Week of Action </w:t>
      </w:r>
    </w:p>
    <w:p w14:paraId="2D450FA4" w14:textId="77777777" w:rsidR="001A14CB" w:rsidRDefault="001A14CB" w:rsidP="00204CF2">
      <w:pPr>
        <w:spacing w:after="0"/>
        <w:ind w:left="0" w:firstLine="0"/>
        <w:rPr>
          <w:rFonts w:cs="Arial"/>
          <w:b/>
          <w:bCs/>
        </w:rPr>
      </w:pPr>
    </w:p>
    <w:p w14:paraId="47D1D890" w14:textId="7FB4597E" w:rsidR="001C33D9" w:rsidRDefault="001C33D9" w:rsidP="00204CF2">
      <w:pPr>
        <w:pStyle w:val="ListParagraph"/>
        <w:numPr>
          <w:ilvl w:val="0"/>
          <w:numId w:val="31"/>
        </w:numPr>
        <w:autoSpaceDE w:val="0"/>
        <w:autoSpaceDN w:val="0"/>
        <w:spacing w:after="0"/>
        <w:rPr>
          <w:rFonts w:cs="Arial"/>
          <w:color w:val="000000"/>
        </w:rPr>
      </w:pPr>
      <w:r w:rsidRPr="001C33D9">
        <w:rPr>
          <w:rFonts w:cs="Arial"/>
          <w:color w:val="000000"/>
        </w:rPr>
        <w:t>The rising price of metal has led to an increase in metal crime with thieves targeting railway and telecommunication networks, churches, vehicles and isolated locations causing disruption and significant costs to businesses. The National Police Chiefs</w:t>
      </w:r>
      <w:r w:rsidR="003B12E2">
        <w:rPr>
          <w:rFonts w:cs="Arial"/>
          <w:color w:val="000000"/>
        </w:rPr>
        <w:t>’</w:t>
      </w:r>
      <w:r w:rsidRPr="001C33D9">
        <w:rPr>
          <w:rFonts w:cs="Arial"/>
          <w:color w:val="000000"/>
        </w:rPr>
        <w:t xml:space="preserve"> Council (NPCC) led a metal crime week of action between 12th and 16th October 2020.  During the week of action, the police</w:t>
      </w:r>
      <w:r w:rsidR="002A0C71">
        <w:rPr>
          <w:rFonts w:cs="Arial"/>
          <w:color w:val="000000"/>
        </w:rPr>
        <w:t xml:space="preserve"> -</w:t>
      </w:r>
      <w:r w:rsidRPr="001C33D9">
        <w:rPr>
          <w:rFonts w:cs="Arial"/>
          <w:color w:val="000000"/>
        </w:rPr>
        <w:t xml:space="preserve"> jointly with councils and other enforcement agencie</w:t>
      </w:r>
      <w:r w:rsidR="002A0C71">
        <w:rPr>
          <w:rFonts w:cs="Arial"/>
          <w:color w:val="000000"/>
        </w:rPr>
        <w:t>s -</w:t>
      </w:r>
      <w:r w:rsidRPr="001C33D9">
        <w:rPr>
          <w:rFonts w:cs="Arial"/>
          <w:color w:val="000000"/>
        </w:rPr>
        <w:t xml:space="preserve"> visited over 500 scrap metal dealers sites, stopped over 1,000 mobile collectors and made 29 arrests as well as shutting down illegal and unlicensed sites. </w:t>
      </w:r>
    </w:p>
    <w:p w14:paraId="696DC841" w14:textId="77777777" w:rsidR="00204CF2" w:rsidRPr="001C33D9" w:rsidRDefault="00204CF2" w:rsidP="00204CF2">
      <w:pPr>
        <w:pStyle w:val="ListParagraph"/>
        <w:numPr>
          <w:ilvl w:val="0"/>
          <w:numId w:val="0"/>
        </w:numPr>
        <w:autoSpaceDE w:val="0"/>
        <w:autoSpaceDN w:val="0"/>
        <w:spacing w:after="0"/>
        <w:ind w:left="644"/>
        <w:rPr>
          <w:rFonts w:cs="Arial"/>
          <w:color w:val="000000"/>
        </w:rPr>
      </w:pPr>
    </w:p>
    <w:p w14:paraId="3B7A79B6" w14:textId="270366BA" w:rsidR="001A14CB" w:rsidRDefault="001C33D9" w:rsidP="00204CF2">
      <w:pPr>
        <w:pStyle w:val="Heading2"/>
        <w:spacing w:before="0" w:beforeAutospacing="0" w:after="0" w:afterAutospacing="0"/>
        <w:rPr>
          <w:rStyle w:val="Strong"/>
          <w:rFonts w:ascii="Helvetica" w:eastAsia="Times New Roman" w:hAnsi="Helvetica" w:cs="Helvetica"/>
          <w:b/>
          <w:bCs/>
          <w:color w:val="2D2D2D"/>
          <w:sz w:val="22"/>
          <w:szCs w:val="22"/>
        </w:rPr>
      </w:pPr>
      <w:r>
        <w:rPr>
          <w:rStyle w:val="Strong"/>
          <w:rFonts w:ascii="Helvetica" w:eastAsia="Times New Roman" w:hAnsi="Helvetica" w:cs="Helvetica"/>
          <w:b/>
          <w:bCs/>
          <w:color w:val="2D2D2D"/>
          <w:sz w:val="22"/>
          <w:szCs w:val="22"/>
        </w:rPr>
        <w:t>Modern slavery</w:t>
      </w:r>
    </w:p>
    <w:p w14:paraId="4888B56D" w14:textId="77777777" w:rsidR="001A14CB" w:rsidRDefault="001A14CB" w:rsidP="00204CF2">
      <w:pPr>
        <w:pStyle w:val="Heading2"/>
        <w:spacing w:before="0" w:beforeAutospacing="0" w:after="0" w:afterAutospacing="0"/>
        <w:rPr>
          <w:rFonts w:ascii="Helvetica" w:eastAsia="Times New Roman" w:hAnsi="Helvetica" w:cs="Helvetica"/>
          <w:color w:val="2D2D2D"/>
          <w:sz w:val="22"/>
          <w:szCs w:val="22"/>
        </w:rPr>
      </w:pPr>
    </w:p>
    <w:p w14:paraId="6BBD0129" w14:textId="4CE26387" w:rsidR="008E6769" w:rsidRDefault="001C33D9" w:rsidP="008E6769">
      <w:pPr>
        <w:pStyle w:val="ListParagraph"/>
        <w:numPr>
          <w:ilvl w:val="0"/>
          <w:numId w:val="31"/>
        </w:numPr>
        <w:spacing w:after="0"/>
      </w:pPr>
      <w:r>
        <w:t>The Home Office has published an </w:t>
      </w:r>
      <w:hyperlink r:id="rId18" w:tgtFrame="_blank" w:history="1">
        <w:r w:rsidRPr="00FD4D44">
          <w:rPr>
            <w:rStyle w:val="Hyperlink"/>
            <w:rFonts w:ascii="Helvetica" w:hAnsi="Helvetica" w:cs="Helvetica"/>
            <w:color w:val="941C80"/>
          </w:rPr>
          <w:t>evaluation of modern slavery Local Authority Pathway pilots</w:t>
        </w:r>
      </w:hyperlink>
      <w:r>
        <w:t> which took place in Birmingham, Derby, Croydon, Leeds, Nottingham and Redbridge. The pilots aimed to test new approaches to identify best practice in supporting victims to transition out of National Referral Mechanism (NRM) support and link up with local services. The report highlights best practice and what an effective transition looks like for victims and highlights key recommendations to improve the transition of victims into local services, which may be useful to other authorities.</w:t>
      </w:r>
    </w:p>
    <w:p w14:paraId="2410FF99" w14:textId="77777777" w:rsidR="008E6769" w:rsidRDefault="008E6769" w:rsidP="008E6769">
      <w:pPr>
        <w:pStyle w:val="ListParagraph"/>
        <w:numPr>
          <w:ilvl w:val="0"/>
          <w:numId w:val="0"/>
        </w:numPr>
        <w:spacing w:after="0"/>
        <w:ind w:left="644"/>
      </w:pPr>
    </w:p>
    <w:p w14:paraId="34FDF251" w14:textId="68F23494" w:rsidR="002E77FA" w:rsidRDefault="006134F4" w:rsidP="008E6769">
      <w:pPr>
        <w:pStyle w:val="ListParagraph"/>
        <w:numPr>
          <w:ilvl w:val="0"/>
          <w:numId w:val="31"/>
        </w:numPr>
        <w:spacing w:after="0"/>
      </w:pPr>
      <w:r>
        <w:t xml:space="preserve">The Home Office has also launched a </w:t>
      </w:r>
      <w:r w:rsidR="008E6769">
        <w:t>competed grant process for funding to support</w:t>
      </w:r>
      <w:r>
        <w:t xml:space="preserve"> a pilot of devolved decision making for child victims of modern slavery.</w:t>
      </w:r>
      <w:r w:rsidR="008E6769">
        <w:t xml:space="preserve"> The funding available, and the support provided by the Home Office, will enable local authorities to develop appropriate processes that enable decisions about potential child victims of modern slavery to be taken at a local level by appropriate multi-agency partners</w:t>
      </w:r>
      <w:r w:rsidR="00135CF8">
        <w:t xml:space="preserve">, rather than being referred to the national Single Competent Authority for a decision. </w:t>
      </w:r>
      <w:r w:rsidR="002E77FA">
        <w:t>Devolved decision making for child victims has been championed by the Independent Anti-Slavery Commissioner Dame Sara Thornton.</w:t>
      </w:r>
    </w:p>
    <w:p w14:paraId="0D45D343" w14:textId="77777777" w:rsidR="002E77FA" w:rsidRDefault="002E77FA" w:rsidP="002E77FA">
      <w:pPr>
        <w:pStyle w:val="ListParagraph"/>
        <w:numPr>
          <w:ilvl w:val="0"/>
          <w:numId w:val="0"/>
        </w:numPr>
        <w:ind w:left="360"/>
      </w:pPr>
    </w:p>
    <w:p w14:paraId="510CE2B0" w14:textId="6409B33C" w:rsidR="008E6769" w:rsidRDefault="002E77FA" w:rsidP="008E6769">
      <w:pPr>
        <w:pStyle w:val="ListParagraph"/>
        <w:numPr>
          <w:ilvl w:val="0"/>
          <w:numId w:val="31"/>
        </w:numPr>
        <w:spacing w:after="0"/>
      </w:pPr>
      <w:r>
        <w:t>All social care authorities in the UK are able to apply to take part in the pilot</w:t>
      </w:r>
      <w:r w:rsidR="00996751">
        <w:t xml:space="preserve">, and the deadline to apply is 14 December. </w:t>
      </w:r>
      <w:r w:rsidR="00512166">
        <w:t xml:space="preserve"> It is intended that the pilots should commence in January 2021.</w:t>
      </w:r>
    </w:p>
    <w:p w14:paraId="1FB4F2FA" w14:textId="77777777" w:rsidR="00E040CB" w:rsidRDefault="00E040CB" w:rsidP="00E040CB">
      <w:pPr>
        <w:pStyle w:val="ListParagraph"/>
        <w:numPr>
          <w:ilvl w:val="0"/>
          <w:numId w:val="0"/>
        </w:numPr>
        <w:ind w:left="360"/>
      </w:pPr>
    </w:p>
    <w:p w14:paraId="632DF45D" w14:textId="1AF645BE" w:rsidR="00E040CB" w:rsidRPr="008E6769" w:rsidRDefault="00E040CB" w:rsidP="008E6769">
      <w:pPr>
        <w:pStyle w:val="ListParagraph"/>
        <w:numPr>
          <w:ilvl w:val="0"/>
          <w:numId w:val="31"/>
        </w:numPr>
        <w:spacing w:after="0"/>
      </w:pPr>
      <w:r>
        <w:t>Finally, the Home Office has</w:t>
      </w:r>
      <w:r w:rsidR="00066710">
        <w:t xml:space="preserve"> also published </w:t>
      </w:r>
      <w:r w:rsidR="006774EC">
        <w:t>its 2020</w:t>
      </w:r>
      <w:r w:rsidR="00066710">
        <w:t xml:space="preserve"> </w:t>
      </w:r>
      <w:hyperlink r:id="rId19" w:history="1">
        <w:r w:rsidR="00066710" w:rsidRPr="00C6714C">
          <w:rPr>
            <w:rStyle w:val="Hyperlink"/>
          </w:rPr>
          <w:t>annual report</w:t>
        </w:r>
      </w:hyperlink>
      <w:r w:rsidR="00066710">
        <w:t xml:space="preserve"> into</w:t>
      </w:r>
      <w:r w:rsidR="00361C41">
        <w:t xml:space="preserve"> modern slavery in the UK.</w:t>
      </w:r>
      <w:r w:rsidR="002460E9">
        <w:t xml:space="preserve"> The report summarises </w:t>
      </w:r>
      <w:r w:rsidR="00503341">
        <w:t xml:space="preserve">recent work </w:t>
      </w:r>
      <w:r w:rsidR="000671AC">
        <w:t xml:space="preserve">under the headings of pursue, prevent, protect, victim identification and support and international </w:t>
      </w:r>
      <w:r w:rsidR="00503341">
        <w:t>activity, and includes a number of case studies</w:t>
      </w:r>
      <w:r w:rsidR="007D42A7">
        <w:t xml:space="preserve"> of work throughout the year.</w:t>
      </w:r>
    </w:p>
    <w:p w14:paraId="5D120336" w14:textId="77777777" w:rsidR="00204CF2" w:rsidRDefault="00204CF2" w:rsidP="00204CF2">
      <w:pPr>
        <w:pStyle w:val="ListParagraph"/>
        <w:numPr>
          <w:ilvl w:val="0"/>
          <w:numId w:val="0"/>
        </w:numPr>
        <w:spacing w:after="0"/>
        <w:ind w:left="644"/>
      </w:pPr>
    </w:p>
    <w:p w14:paraId="7D63163A" w14:textId="3FA4F7DB" w:rsidR="002C07B7" w:rsidRDefault="002C07B7" w:rsidP="00204CF2">
      <w:pPr>
        <w:spacing w:after="0"/>
        <w:rPr>
          <w:rFonts w:cs="Arial"/>
          <w:b/>
          <w:bCs/>
        </w:rPr>
      </w:pPr>
      <w:r>
        <w:rPr>
          <w:rFonts w:cs="Arial"/>
          <w:b/>
          <w:bCs/>
        </w:rPr>
        <w:t>Cyber security</w:t>
      </w:r>
    </w:p>
    <w:p w14:paraId="36C55D8F" w14:textId="77777777" w:rsidR="001A14CB" w:rsidRDefault="001A14CB" w:rsidP="00204CF2">
      <w:pPr>
        <w:spacing w:after="0"/>
        <w:rPr>
          <w:rFonts w:cs="Arial"/>
          <w:b/>
          <w:bCs/>
        </w:rPr>
      </w:pPr>
    </w:p>
    <w:p w14:paraId="2F20788E" w14:textId="5EBBFA84" w:rsidR="002C07B7" w:rsidRDefault="002C07B7" w:rsidP="00204CF2">
      <w:pPr>
        <w:pStyle w:val="ListParagraph"/>
        <w:numPr>
          <w:ilvl w:val="0"/>
          <w:numId w:val="31"/>
        </w:numPr>
        <w:spacing w:after="0"/>
        <w:rPr>
          <w:rFonts w:cs="Arial"/>
        </w:rPr>
      </w:pPr>
      <w:r w:rsidRPr="002C07B7">
        <w:rPr>
          <w:rFonts w:cs="Arial"/>
        </w:rPr>
        <w:t xml:space="preserve">The LGA’s improvement directorate has been running a </w:t>
      </w:r>
      <w:hyperlink r:id="rId20" w:history="1">
        <w:r w:rsidRPr="002C07B7">
          <w:rPr>
            <w:rStyle w:val="Hyperlink"/>
            <w:rFonts w:cs="Arial"/>
          </w:rPr>
          <w:t>Cyber Security</w:t>
        </w:r>
      </w:hyperlink>
      <w:r w:rsidRPr="002C07B7">
        <w:rPr>
          <w:rFonts w:cs="Arial"/>
        </w:rPr>
        <w:t xml:space="preserve"> Programme since 2018, funded by the National Cyber Security Programme (NCSP) through the Cabinet Office, and which is now in its final year of its initial three-year agreement. The aim of the programme is to improve the cyber security of English Local Authorities, with the desired strategic outcome being that local government networks and services will be as secure as possible from the moment of their first implementation, and that the public will be able to use local government digital services with confidence, trusting that their information is safe.</w:t>
      </w:r>
    </w:p>
    <w:p w14:paraId="6C868A0B" w14:textId="77777777" w:rsidR="002C07B7" w:rsidRPr="002C07B7" w:rsidRDefault="002C07B7" w:rsidP="00204CF2">
      <w:pPr>
        <w:pStyle w:val="ListParagraph"/>
        <w:numPr>
          <w:ilvl w:val="0"/>
          <w:numId w:val="0"/>
        </w:numPr>
        <w:spacing w:after="0"/>
        <w:ind w:left="644"/>
        <w:rPr>
          <w:rFonts w:cs="Arial"/>
        </w:rPr>
      </w:pPr>
    </w:p>
    <w:p w14:paraId="0471AAF6" w14:textId="6521E86C" w:rsidR="002C07B7" w:rsidRDefault="002C07B7" w:rsidP="00204CF2">
      <w:pPr>
        <w:pStyle w:val="ListParagraph"/>
        <w:numPr>
          <w:ilvl w:val="0"/>
          <w:numId w:val="31"/>
        </w:numPr>
        <w:spacing w:after="0"/>
        <w:rPr>
          <w:rFonts w:cs="Arial"/>
        </w:rPr>
      </w:pPr>
      <w:r w:rsidRPr="002C07B7">
        <w:rPr>
          <w:rFonts w:cs="Arial"/>
        </w:rPr>
        <w:t xml:space="preserve">The LGA works collaboratively with representatives from </w:t>
      </w:r>
      <w:r w:rsidR="00677304">
        <w:rPr>
          <w:rFonts w:cs="Arial"/>
        </w:rPr>
        <w:t xml:space="preserve">the </w:t>
      </w:r>
      <w:r w:rsidRPr="002C07B7">
        <w:rPr>
          <w:rFonts w:cs="Arial"/>
        </w:rPr>
        <w:t>M</w:t>
      </w:r>
      <w:r w:rsidR="00677304">
        <w:rPr>
          <w:rFonts w:cs="Arial"/>
        </w:rPr>
        <w:t xml:space="preserve">inistry of </w:t>
      </w:r>
      <w:r w:rsidRPr="002C07B7">
        <w:rPr>
          <w:rFonts w:cs="Arial"/>
        </w:rPr>
        <w:t>H</w:t>
      </w:r>
      <w:r w:rsidR="00677304">
        <w:rPr>
          <w:rFonts w:cs="Arial"/>
        </w:rPr>
        <w:t xml:space="preserve">ousing, </w:t>
      </w:r>
      <w:r w:rsidRPr="002C07B7">
        <w:rPr>
          <w:rFonts w:cs="Arial"/>
        </w:rPr>
        <w:t>C</w:t>
      </w:r>
      <w:r w:rsidR="00677304">
        <w:rPr>
          <w:rFonts w:cs="Arial"/>
        </w:rPr>
        <w:t xml:space="preserve">ommunities and </w:t>
      </w:r>
      <w:r w:rsidRPr="002C07B7">
        <w:rPr>
          <w:rFonts w:cs="Arial"/>
        </w:rPr>
        <w:t>L</w:t>
      </w:r>
      <w:r w:rsidR="00677304">
        <w:rPr>
          <w:rFonts w:cs="Arial"/>
        </w:rPr>
        <w:t xml:space="preserve">ocal </w:t>
      </w:r>
      <w:r w:rsidRPr="002C07B7">
        <w:rPr>
          <w:rFonts w:cs="Arial"/>
        </w:rPr>
        <w:t>G</w:t>
      </w:r>
      <w:r w:rsidR="00677304">
        <w:rPr>
          <w:rFonts w:cs="Arial"/>
        </w:rPr>
        <w:t>overnment</w:t>
      </w:r>
      <w:r w:rsidRPr="002C07B7">
        <w:rPr>
          <w:rFonts w:cs="Arial"/>
        </w:rPr>
        <w:t>, the National Cyber Security Centre (NCSC), SOLACE, SOCITM</w:t>
      </w:r>
      <w:r w:rsidR="0093306A">
        <w:rPr>
          <w:rFonts w:cs="Arial"/>
        </w:rPr>
        <w:t xml:space="preserve"> – the society for </w:t>
      </w:r>
      <w:r w:rsidR="00BF7CB6">
        <w:rPr>
          <w:rFonts w:cs="Arial"/>
        </w:rPr>
        <w:t>innovation, technology and modernisation</w:t>
      </w:r>
      <w:r w:rsidRPr="002C07B7">
        <w:rPr>
          <w:rFonts w:cs="Arial"/>
        </w:rPr>
        <w:t xml:space="preserve">, the NHS, the Cabinet Office and the local government community. The programme uses a sector-led approach to improvement to deliver sustainable cultural change within councils that both directly improves cyber security and indirectly leads to members and officers viewing it with increased importance. </w:t>
      </w:r>
    </w:p>
    <w:p w14:paraId="231071DD" w14:textId="77777777" w:rsidR="001A14CB" w:rsidRPr="001A14CB" w:rsidRDefault="001A14CB" w:rsidP="00204CF2">
      <w:pPr>
        <w:pStyle w:val="ListParagraph"/>
        <w:numPr>
          <w:ilvl w:val="0"/>
          <w:numId w:val="0"/>
        </w:numPr>
        <w:spacing w:after="0"/>
        <w:ind w:left="360"/>
        <w:rPr>
          <w:rFonts w:cs="Arial"/>
        </w:rPr>
      </w:pPr>
    </w:p>
    <w:p w14:paraId="082ED864" w14:textId="77777777" w:rsidR="00204CF2" w:rsidRPr="00204CF2" w:rsidRDefault="002C07B7" w:rsidP="00204CF2">
      <w:pPr>
        <w:pStyle w:val="ListParagraph"/>
        <w:numPr>
          <w:ilvl w:val="0"/>
          <w:numId w:val="31"/>
        </w:numPr>
        <w:spacing w:after="0"/>
        <w:rPr>
          <w:rFonts w:cs="Arial"/>
        </w:rPr>
      </w:pPr>
      <w:r w:rsidRPr="002C07B7">
        <w:rPr>
          <w:rFonts w:cs="Arial"/>
          <w:color w:val="2D2D2D"/>
        </w:rPr>
        <w:t>Following a recent large-scale cyber-attack on a London Borough, the LGA has also been providing some initial technical guidance to council IT colleagues, containing some important advice and actions to take and signposting the following:</w:t>
      </w:r>
    </w:p>
    <w:p w14:paraId="08303C30" w14:textId="77777777" w:rsidR="00204CF2" w:rsidRPr="00204CF2" w:rsidRDefault="00204CF2" w:rsidP="00204CF2">
      <w:pPr>
        <w:pStyle w:val="ListParagraph"/>
        <w:numPr>
          <w:ilvl w:val="0"/>
          <w:numId w:val="0"/>
        </w:numPr>
        <w:ind w:left="360"/>
        <w:rPr>
          <w:rFonts w:eastAsia="Times New Roman" w:cs="Arial"/>
          <w:color w:val="2D2D2D"/>
        </w:rPr>
      </w:pPr>
    </w:p>
    <w:p w14:paraId="50804178" w14:textId="77777777" w:rsidR="00204CF2" w:rsidRPr="00204CF2" w:rsidRDefault="002C07B7" w:rsidP="00455444">
      <w:pPr>
        <w:pStyle w:val="ListParagraph"/>
        <w:numPr>
          <w:ilvl w:val="1"/>
          <w:numId w:val="38"/>
        </w:numPr>
        <w:spacing w:after="0"/>
        <w:rPr>
          <w:rFonts w:cs="Arial"/>
        </w:rPr>
      </w:pPr>
      <w:r w:rsidRPr="00204CF2">
        <w:rPr>
          <w:rFonts w:eastAsia="Times New Roman" w:cs="Arial"/>
          <w:color w:val="2D2D2D"/>
        </w:rPr>
        <w:t>An article in First magazine written by Councillor Neil Prior on </w:t>
      </w:r>
      <w:hyperlink r:id="rId21" w:history="1">
        <w:r w:rsidRPr="00204CF2">
          <w:rPr>
            <w:rStyle w:val="Hyperlink"/>
            <w:rFonts w:eastAsia="Times New Roman" w:cs="Arial"/>
            <w:color w:val="941C80"/>
          </w:rPr>
          <w:t>managing cyber security risks</w:t>
        </w:r>
      </w:hyperlink>
      <w:r w:rsidRPr="00204CF2">
        <w:rPr>
          <w:rFonts w:eastAsia="Times New Roman" w:cs="Arial"/>
          <w:color w:val="2D2D2D"/>
        </w:rPr>
        <w:t>, which includes tips on what action individuals can take, and also gives general advice on the type of questions councillors should be asking officers.</w:t>
      </w:r>
    </w:p>
    <w:p w14:paraId="6EE031EF" w14:textId="77777777" w:rsidR="00204CF2" w:rsidRPr="00204CF2" w:rsidRDefault="002C07B7" w:rsidP="00455444">
      <w:pPr>
        <w:pStyle w:val="ListParagraph"/>
        <w:numPr>
          <w:ilvl w:val="1"/>
          <w:numId w:val="38"/>
        </w:numPr>
        <w:spacing w:after="0"/>
        <w:rPr>
          <w:rFonts w:cs="Arial"/>
        </w:rPr>
      </w:pPr>
      <w:r w:rsidRPr="00204CF2">
        <w:rPr>
          <w:rFonts w:eastAsia="Times New Roman" w:cs="Arial"/>
          <w:color w:val="2D2D2D"/>
        </w:rPr>
        <w:t xml:space="preserve">NCSC’s </w:t>
      </w:r>
      <w:hyperlink r:id="rId22" w:history="1">
        <w:r w:rsidRPr="00204CF2">
          <w:rPr>
            <w:rStyle w:val="Hyperlink"/>
            <w:rFonts w:eastAsia="Times New Roman" w:cs="Arial"/>
            <w:color w:val="941C80"/>
          </w:rPr>
          <w:t>suite of guidance on their website </w:t>
        </w:r>
      </w:hyperlink>
      <w:r w:rsidRPr="00204CF2">
        <w:rPr>
          <w:rFonts w:eastAsia="Times New Roman" w:cs="Arial"/>
          <w:color w:val="2D2D2D"/>
        </w:rPr>
        <w:t>including </w:t>
      </w:r>
      <w:hyperlink r:id="rId23" w:history="1">
        <w:r w:rsidRPr="00204CF2">
          <w:rPr>
            <w:rStyle w:val="Hyperlink"/>
            <w:rFonts w:eastAsia="Times New Roman" w:cs="Arial"/>
            <w:color w:val="941C80"/>
          </w:rPr>
          <w:t>mitigating malware and ransomware</w:t>
        </w:r>
      </w:hyperlink>
      <w:r w:rsidRPr="00204CF2">
        <w:rPr>
          <w:rFonts w:eastAsia="Times New Roman" w:cs="Arial"/>
          <w:color w:val="2D2D2D"/>
        </w:rPr>
        <w:t>, </w:t>
      </w:r>
      <w:hyperlink r:id="rId24" w:history="1">
        <w:r w:rsidRPr="00204CF2">
          <w:rPr>
            <w:rStyle w:val="Hyperlink"/>
            <w:rFonts w:eastAsia="Times New Roman" w:cs="Arial"/>
            <w:color w:val="941C80"/>
          </w:rPr>
          <w:t>incident management</w:t>
        </w:r>
      </w:hyperlink>
      <w:r w:rsidRPr="00204CF2">
        <w:rPr>
          <w:rFonts w:eastAsia="Times New Roman" w:cs="Arial"/>
          <w:color w:val="2D2D2D"/>
        </w:rPr>
        <w:t>, and </w:t>
      </w:r>
      <w:hyperlink r:id="rId25" w:history="1">
        <w:r w:rsidRPr="00204CF2">
          <w:rPr>
            <w:rStyle w:val="Hyperlink"/>
            <w:rFonts w:eastAsia="Times New Roman" w:cs="Arial"/>
            <w:color w:val="941C80"/>
          </w:rPr>
          <w:t>10 steps to cyber security</w:t>
        </w:r>
      </w:hyperlink>
      <w:r w:rsidRPr="00204CF2">
        <w:rPr>
          <w:rFonts w:eastAsia="Times New Roman" w:cs="Arial"/>
          <w:color w:val="2D2D2D"/>
        </w:rPr>
        <w:t>.</w:t>
      </w:r>
    </w:p>
    <w:p w14:paraId="2D0E51B1" w14:textId="39723ECE" w:rsidR="002C07B7" w:rsidRPr="00204CF2" w:rsidRDefault="002C07B7" w:rsidP="00455444">
      <w:pPr>
        <w:pStyle w:val="ListParagraph"/>
        <w:numPr>
          <w:ilvl w:val="1"/>
          <w:numId w:val="38"/>
        </w:numPr>
        <w:spacing w:after="0"/>
        <w:rPr>
          <w:rFonts w:cs="Arial"/>
        </w:rPr>
      </w:pPr>
      <w:r w:rsidRPr="00204CF2">
        <w:rPr>
          <w:rFonts w:eastAsia="Times New Roman" w:cs="Arial"/>
          <w:color w:val="2D2D2D"/>
        </w:rPr>
        <w:t xml:space="preserve">The NCSC’s </w:t>
      </w:r>
      <w:hyperlink r:id="rId26" w:history="1">
        <w:r w:rsidRPr="00204CF2">
          <w:rPr>
            <w:rStyle w:val="Hyperlink"/>
            <w:rFonts w:eastAsia="Times New Roman" w:cs="Arial"/>
            <w:color w:val="941C80"/>
          </w:rPr>
          <w:t>free Early Warning Service</w:t>
        </w:r>
      </w:hyperlink>
      <w:r w:rsidRPr="00204CF2">
        <w:rPr>
          <w:rFonts w:eastAsia="Times New Roman" w:cs="Arial"/>
          <w:color w:val="2D2D2D"/>
        </w:rPr>
        <w:t xml:space="preserve">. </w:t>
      </w:r>
    </w:p>
    <w:p w14:paraId="458CF9E5" w14:textId="77777777" w:rsidR="002C07B7" w:rsidRPr="002C07B7" w:rsidRDefault="002C07B7" w:rsidP="00204CF2">
      <w:pPr>
        <w:pStyle w:val="ListParagraph"/>
        <w:numPr>
          <w:ilvl w:val="0"/>
          <w:numId w:val="0"/>
        </w:numPr>
        <w:spacing w:after="0"/>
        <w:ind w:left="1064"/>
        <w:rPr>
          <w:rFonts w:cs="Arial"/>
        </w:rPr>
      </w:pPr>
    </w:p>
    <w:p w14:paraId="1960BC22" w14:textId="38011F59" w:rsidR="002C07B7" w:rsidRDefault="002C07B7" w:rsidP="00204CF2">
      <w:pPr>
        <w:pStyle w:val="ListParagraph"/>
        <w:numPr>
          <w:ilvl w:val="0"/>
          <w:numId w:val="31"/>
        </w:numPr>
        <w:shd w:val="clear" w:color="auto" w:fill="FFFFFF"/>
        <w:spacing w:after="0"/>
        <w:rPr>
          <w:rFonts w:cs="Arial"/>
          <w:color w:val="2D2D2D"/>
        </w:rPr>
      </w:pPr>
      <w:r w:rsidRPr="002C07B7">
        <w:rPr>
          <w:rFonts w:cs="Arial"/>
          <w:color w:val="2D2D2D"/>
        </w:rPr>
        <w:t xml:space="preserve">For further advice or support, the LGA’s cyber security team can be contacted on </w:t>
      </w:r>
      <w:hyperlink r:id="rId27" w:history="1">
        <w:r w:rsidRPr="002C07B7">
          <w:rPr>
            <w:rStyle w:val="Hyperlink"/>
            <w:rFonts w:cs="Arial"/>
            <w:color w:val="941C80"/>
          </w:rPr>
          <w:t>cybersecurity@local.gov.uk</w:t>
        </w:r>
      </w:hyperlink>
      <w:r w:rsidRPr="002C07B7">
        <w:rPr>
          <w:rFonts w:cs="Arial"/>
          <w:color w:val="2D2D2D"/>
        </w:rPr>
        <w:t>.</w:t>
      </w:r>
    </w:p>
    <w:p w14:paraId="1E1C5A72" w14:textId="77777777" w:rsidR="00F24C88" w:rsidRPr="002C07B7" w:rsidRDefault="00F24C88" w:rsidP="00204CF2">
      <w:pPr>
        <w:pStyle w:val="ListParagraph"/>
        <w:numPr>
          <w:ilvl w:val="0"/>
          <w:numId w:val="0"/>
        </w:numPr>
        <w:shd w:val="clear" w:color="auto" w:fill="FFFFFF"/>
        <w:spacing w:after="0"/>
        <w:ind w:left="644"/>
        <w:rPr>
          <w:rFonts w:cs="Arial"/>
          <w:color w:val="2D2D2D"/>
        </w:rPr>
      </w:pPr>
    </w:p>
    <w:p w14:paraId="234759C4" w14:textId="7F3B968E" w:rsidR="00F24C88" w:rsidRDefault="00607033" w:rsidP="00204CF2">
      <w:pPr>
        <w:spacing w:after="0"/>
        <w:ind w:left="360" w:hanging="360"/>
        <w:rPr>
          <w:rFonts w:cs="Arial"/>
          <w:b/>
          <w:bCs/>
        </w:rPr>
      </w:pPr>
      <w:r w:rsidRPr="00F24C88">
        <w:rPr>
          <w:rFonts w:cs="Arial"/>
          <w:b/>
          <w:bCs/>
        </w:rPr>
        <w:t>National FGM Centre</w:t>
      </w:r>
    </w:p>
    <w:p w14:paraId="2C0BC856" w14:textId="77777777" w:rsidR="00204CF2" w:rsidRPr="00F24C88" w:rsidRDefault="00204CF2" w:rsidP="00204CF2">
      <w:pPr>
        <w:spacing w:after="0"/>
        <w:ind w:left="360" w:hanging="360"/>
        <w:rPr>
          <w:rFonts w:cs="Arial"/>
          <w:b/>
          <w:bCs/>
        </w:rPr>
      </w:pPr>
    </w:p>
    <w:p w14:paraId="2CD5A502" w14:textId="5BA5931F" w:rsidR="00607033" w:rsidRDefault="00607033" w:rsidP="00204CF2">
      <w:pPr>
        <w:pStyle w:val="ListParagraph"/>
        <w:numPr>
          <w:ilvl w:val="0"/>
          <w:numId w:val="31"/>
        </w:numPr>
        <w:spacing w:after="0"/>
        <w:rPr>
          <w:rFonts w:cs="Arial"/>
        </w:rPr>
      </w:pPr>
      <w:r w:rsidRPr="00F24C88">
        <w:rPr>
          <w:rFonts w:cs="Arial"/>
        </w:rPr>
        <w:t xml:space="preserve">The National FGM Centre is a partnership between the LGA and Barnardo's. It was established to improve the social care response to cases of FGM and, since 2017, to breast ironing/flattening and child abuse linked to faith or belief (CALFB). The Centre’s approach to improving social work has focussed on four key elements including embedding specialist social workers, the provision of training and professional development, the creation of a knowledge hub and community engagement. </w:t>
      </w:r>
    </w:p>
    <w:p w14:paraId="139990B1" w14:textId="77777777" w:rsidR="00F24C88" w:rsidRPr="00F24C88" w:rsidRDefault="00F24C88" w:rsidP="00204CF2">
      <w:pPr>
        <w:pStyle w:val="ListParagraph"/>
        <w:numPr>
          <w:ilvl w:val="0"/>
          <w:numId w:val="0"/>
        </w:numPr>
        <w:spacing w:after="0"/>
        <w:ind w:left="644"/>
        <w:rPr>
          <w:rFonts w:cs="Arial"/>
        </w:rPr>
      </w:pPr>
    </w:p>
    <w:p w14:paraId="4DCC478B" w14:textId="1AE9D6C3" w:rsidR="007A2956" w:rsidRDefault="00607033" w:rsidP="009955F8">
      <w:pPr>
        <w:pStyle w:val="ListParagraph"/>
        <w:numPr>
          <w:ilvl w:val="0"/>
          <w:numId w:val="31"/>
        </w:numPr>
        <w:spacing w:after="0"/>
        <w:rPr>
          <w:rFonts w:cs="Arial"/>
        </w:rPr>
      </w:pPr>
      <w:r w:rsidRPr="00F24C88">
        <w:rPr>
          <w:rFonts w:cs="Arial"/>
        </w:rPr>
        <w:t>The Centre’s</w:t>
      </w:r>
      <w:r w:rsidR="00555F89">
        <w:rPr>
          <w:rFonts w:cs="Arial"/>
        </w:rPr>
        <w:t xml:space="preserve"> Advisory Group was held on 26 October where members discussed the current situation of the National FGM Centre. The</w:t>
      </w:r>
      <w:r w:rsidRPr="00F24C88">
        <w:rPr>
          <w:rFonts w:cs="Arial"/>
        </w:rPr>
        <w:t xml:space="preserve"> current model costs approximately £1.2 million per year to run. The Centre initially received funding in 2015 from the DfE's Children's Social Care Innovation Fund, with further funding being granted in 2017 on a tapered basis, reducing year on year. Funding was due to end in March 2020 on the agreed approach that the Centre would be self-sustaining by 2020. Due to COVID-19, the DfE agreed to extend the funding of the Centre to June 2020, and since then the Centre has been supported through other funding, however this is due to expire at the end of December 2020. Between January to March 2021, the Centre will continue to offer training and consultancy. At the time of writing Barnardo’s have not secured alternative funding arrangements and there is thus a significant risk that the Centre will cease to exist in March 2021. The Centre is now looking at options for the future if no new funding from the Government can be secured to continue its work, including working with private funders.</w:t>
      </w:r>
    </w:p>
    <w:p w14:paraId="4E67D162" w14:textId="77777777" w:rsidR="009955F8" w:rsidRPr="009955F8" w:rsidRDefault="009955F8" w:rsidP="009955F8">
      <w:pPr>
        <w:pStyle w:val="ListParagraph"/>
        <w:numPr>
          <w:ilvl w:val="0"/>
          <w:numId w:val="0"/>
        </w:numPr>
        <w:ind w:left="360"/>
        <w:rPr>
          <w:rFonts w:cs="Arial"/>
        </w:rPr>
      </w:pPr>
    </w:p>
    <w:p w14:paraId="71867A5F" w14:textId="1DDF2B8E" w:rsidR="00607033" w:rsidRPr="00F24C88" w:rsidRDefault="00607033" w:rsidP="00204CF2">
      <w:pPr>
        <w:pStyle w:val="ListParagraph"/>
        <w:numPr>
          <w:ilvl w:val="0"/>
          <w:numId w:val="31"/>
        </w:numPr>
        <w:spacing w:after="0"/>
        <w:rPr>
          <w:rFonts w:cs="Arial"/>
        </w:rPr>
      </w:pPr>
      <w:r w:rsidRPr="00F24C88">
        <w:rPr>
          <w:rFonts w:cs="Arial"/>
        </w:rPr>
        <w:t xml:space="preserve">More broadly Barnardo’s are proposing to establish a BAME Centre of Expertise, which would work in collaboration and partnership with relevant organisations to provide leadership, best practice, training, research, advocacy, consultancy and support. The proposal is therefore that the FGM Centre would come under the Centre of Expertise and retain its distinct focus. Barnardo’s aim to establish the new Centre of Expertise during 2021. </w:t>
      </w:r>
    </w:p>
    <w:p w14:paraId="4F118A25" w14:textId="5C1587D7" w:rsidR="00607033" w:rsidRPr="00607033" w:rsidRDefault="00607033" w:rsidP="00204CF2">
      <w:pPr>
        <w:pStyle w:val="ListParagraph"/>
        <w:numPr>
          <w:ilvl w:val="0"/>
          <w:numId w:val="0"/>
        </w:numPr>
        <w:spacing w:after="0"/>
        <w:ind w:left="644"/>
        <w:rPr>
          <w:rFonts w:cs="Arial"/>
        </w:rPr>
      </w:pPr>
    </w:p>
    <w:p w14:paraId="54384CC9" w14:textId="1CE4C43B" w:rsidR="00A6165C" w:rsidRDefault="00607033" w:rsidP="00A6165C">
      <w:pPr>
        <w:pStyle w:val="ListParagraph"/>
        <w:numPr>
          <w:ilvl w:val="0"/>
          <w:numId w:val="31"/>
        </w:numPr>
        <w:spacing w:after="0"/>
        <w:rPr>
          <w:rFonts w:cs="Arial"/>
        </w:rPr>
      </w:pPr>
      <w:r w:rsidRPr="00607033">
        <w:rPr>
          <w:rFonts w:cs="Arial"/>
        </w:rPr>
        <w:t>Barnardo’s has also established Boloh, a helpline and webchat facility for Black and Asian children, young people and families affected by COVID-19. The helpline is there to encourage children, young people and families from these communities who have been impacted by COVID-19 to speak about their worries and stresses. It provides therapeutic support, as well as signposting to other organisations who can provide further help.</w:t>
      </w:r>
    </w:p>
    <w:p w14:paraId="0EE69E74" w14:textId="6D6533C8" w:rsidR="00A6165C" w:rsidRDefault="00A6165C" w:rsidP="00A6165C">
      <w:pPr>
        <w:spacing w:after="0"/>
        <w:ind w:left="360" w:hanging="360"/>
        <w:rPr>
          <w:rFonts w:cs="Arial"/>
        </w:rPr>
      </w:pPr>
    </w:p>
    <w:p w14:paraId="7F96D09E" w14:textId="77777777" w:rsidR="00A6165C" w:rsidRPr="00204CF2" w:rsidRDefault="00A6165C" w:rsidP="00A6165C">
      <w:pPr>
        <w:spacing w:after="0"/>
        <w:ind w:left="360" w:hanging="360"/>
        <w:rPr>
          <w:rFonts w:cs="Arial"/>
        </w:rPr>
      </w:pPr>
      <w:r w:rsidRPr="00F73F0F">
        <w:rPr>
          <w:rFonts w:cs="Arial"/>
          <w:b/>
          <w:bCs/>
        </w:rPr>
        <w:t>A</w:t>
      </w:r>
      <w:r>
        <w:rPr>
          <w:rFonts w:cs="Arial"/>
          <w:b/>
          <w:bCs/>
        </w:rPr>
        <w:t xml:space="preserve">ssociation of </w:t>
      </w:r>
      <w:r w:rsidRPr="00F73F0F">
        <w:rPr>
          <w:rFonts w:cs="Arial"/>
          <w:b/>
          <w:bCs/>
        </w:rPr>
        <w:t>C</w:t>
      </w:r>
      <w:r>
        <w:rPr>
          <w:rFonts w:cs="Arial"/>
          <w:b/>
          <w:bCs/>
        </w:rPr>
        <w:t xml:space="preserve">hief </w:t>
      </w:r>
      <w:r w:rsidRPr="00F73F0F">
        <w:rPr>
          <w:rFonts w:cs="Arial"/>
          <w:b/>
          <w:bCs/>
        </w:rPr>
        <w:t>T</w:t>
      </w:r>
      <w:r>
        <w:rPr>
          <w:rFonts w:cs="Arial"/>
          <w:b/>
          <w:bCs/>
        </w:rPr>
        <w:t xml:space="preserve">rading </w:t>
      </w:r>
      <w:r w:rsidRPr="00F73F0F">
        <w:rPr>
          <w:rFonts w:cs="Arial"/>
          <w:b/>
          <w:bCs/>
        </w:rPr>
        <w:t>S</w:t>
      </w:r>
      <w:r>
        <w:rPr>
          <w:rFonts w:cs="Arial"/>
          <w:b/>
          <w:bCs/>
        </w:rPr>
        <w:t xml:space="preserve">tandards </w:t>
      </w:r>
      <w:r w:rsidRPr="00F73F0F">
        <w:rPr>
          <w:rFonts w:cs="Arial"/>
          <w:b/>
          <w:bCs/>
        </w:rPr>
        <w:t>O</w:t>
      </w:r>
      <w:r>
        <w:rPr>
          <w:rFonts w:cs="Arial"/>
          <w:b/>
          <w:bCs/>
        </w:rPr>
        <w:t>fficers’</w:t>
      </w:r>
      <w:r w:rsidRPr="00F73F0F">
        <w:rPr>
          <w:rFonts w:cs="Arial"/>
          <w:b/>
          <w:bCs/>
        </w:rPr>
        <w:t xml:space="preserve"> Impacts and Outcomes Report</w:t>
      </w:r>
    </w:p>
    <w:p w14:paraId="5E806B07" w14:textId="77777777" w:rsidR="00A6165C" w:rsidRPr="00A6165C" w:rsidRDefault="00A6165C" w:rsidP="00A6165C">
      <w:pPr>
        <w:spacing w:after="0"/>
        <w:ind w:left="360" w:hanging="360"/>
        <w:rPr>
          <w:rFonts w:cs="Arial"/>
        </w:rPr>
      </w:pPr>
    </w:p>
    <w:p w14:paraId="3E427A0A" w14:textId="77777777" w:rsidR="001D3AFC" w:rsidRDefault="00B25267" w:rsidP="001D3AFC">
      <w:pPr>
        <w:pStyle w:val="ListParagraph"/>
        <w:numPr>
          <w:ilvl w:val="0"/>
          <w:numId w:val="31"/>
        </w:numPr>
        <w:spacing w:after="0"/>
        <w:rPr>
          <w:rFonts w:cs="Arial"/>
        </w:rPr>
      </w:pPr>
      <w:r w:rsidRPr="00A6165C">
        <w:rPr>
          <w:rFonts w:cs="Arial"/>
        </w:rPr>
        <w:t xml:space="preserve">The Association of Chief Trading Standards Officers have produced a useful </w:t>
      </w:r>
      <w:hyperlink r:id="rId28" w:history="1">
        <w:r w:rsidRPr="00A6165C">
          <w:rPr>
            <w:rStyle w:val="Hyperlink"/>
            <w:rFonts w:cs="Arial"/>
          </w:rPr>
          <w:t>report</w:t>
        </w:r>
      </w:hyperlink>
      <w:r w:rsidRPr="00A6165C">
        <w:rPr>
          <w:rFonts w:cs="Arial"/>
        </w:rPr>
        <w:t xml:space="preserve"> </w:t>
      </w:r>
      <w:r w:rsidR="00E651A5" w:rsidRPr="00A6165C">
        <w:rPr>
          <w:rFonts w:cs="Arial"/>
        </w:rPr>
        <w:t xml:space="preserve">and </w:t>
      </w:r>
      <w:hyperlink r:id="rId29" w:history="1">
        <w:r w:rsidR="00E651A5" w:rsidRPr="00A6165C">
          <w:rPr>
            <w:rStyle w:val="Hyperlink"/>
            <w:rFonts w:cs="Arial"/>
          </w:rPr>
          <w:t>infographic</w:t>
        </w:r>
      </w:hyperlink>
      <w:r w:rsidR="00E651A5" w:rsidRPr="00A6165C">
        <w:rPr>
          <w:rFonts w:cs="Arial"/>
        </w:rPr>
        <w:t xml:space="preserve"> </w:t>
      </w:r>
      <w:r w:rsidRPr="00A6165C">
        <w:rPr>
          <w:rFonts w:cs="Arial"/>
        </w:rPr>
        <w:t xml:space="preserve">summarising the </w:t>
      </w:r>
      <w:r w:rsidR="00673089" w:rsidRPr="00A6165C">
        <w:rPr>
          <w:rFonts w:cs="Arial"/>
        </w:rPr>
        <w:t>impact of trading standards services</w:t>
      </w:r>
      <w:r w:rsidR="00031F00" w:rsidRPr="00A6165C">
        <w:rPr>
          <w:rFonts w:cs="Arial"/>
        </w:rPr>
        <w:t xml:space="preserve">. Based on returns from </w:t>
      </w:r>
      <w:r w:rsidR="00945237" w:rsidRPr="00A6165C">
        <w:rPr>
          <w:rFonts w:cs="Arial"/>
        </w:rPr>
        <w:t xml:space="preserve">95 services covering 106 local authorities, the reports cover a range of </w:t>
      </w:r>
      <w:r w:rsidR="009A2EB9" w:rsidRPr="00A6165C">
        <w:rPr>
          <w:rFonts w:cs="Arial"/>
        </w:rPr>
        <w:t xml:space="preserve">impacts and out </w:t>
      </w:r>
      <w:r w:rsidR="00945237" w:rsidRPr="00A6165C">
        <w:rPr>
          <w:rFonts w:cs="Arial"/>
        </w:rPr>
        <w:t xml:space="preserve">outcomes </w:t>
      </w:r>
      <w:r w:rsidR="00BB680A" w:rsidRPr="00A6165C">
        <w:rPr>
          <w:rFonts w:cs="Arial"/>
        </w:rPr>
        <w:t>including</w:t>
      </w:r>
      <w:r w:rsidR="009A2EB9" w:rsidRPr="00A6165C">
        <w:rPr>
          <w:rFonts w:cs="Arial"/>
        </w:rPr>
        <w:t>:</w:t>
      </w:r>
      <w:r w:rsidR="00BB680A" w:rsidRPr="00A6165C">
        <w:rPr>
          <w:rFonts w:cs="Arial"/>
        </w:rPr>
        <w:t xml:space="preserve"> </w:t>
      </w:r>
      <w:r w:rsidR="0065436D" w:rsidRPr="00A6165C">
        <w:rPr>
          <w:rFonts w:cs="Arial"/>
        </w:rPr>
        <w:t xml:space="preserve">the </w:t>
      </w:r>
      <w:r w:rsidR="00BB680A" w:rsidRPr="00A6165C">
        <w:rPr>
          <w:rFonts w:cs="Arial"/>
        </w:rPr>
        <w:t>numbers of businesses supported</w:t>
      </w:r>
      <w:r w:rsidR="00281B7C" w:rsidRPr="00A6165C">
        <w:rPr>
          <w:rFonts w:cs="Arial"/>
        </w:rPr>
        <w:t>;</w:t>
      </w:r>
      <w:r w:rsidR="00E21A53" w:rsidRPr="00A6165C">
        <w:rPr>
          <w:rFonts w:cs="Arial"/>
        </w:rPr>
        <w:t xml:space="preserve"> the number of premises visited for test purchasing</w:t>
      </w:r>
      <w:r w:rsidR="00281B7C" w:rsidRPr="00A6165C">
        <w:rPr>
          <w:rFonts w:cs="Arial"/>
        </w:rPr>
        <w:t xml:space="preserve">; </w:t>
      </w:r>
      <w:r w:rsidR="00370079" w:rsidRPr="00A6165C">
        <w:rPr>
          <w:rFonts w:cs="Arial"/>
        </w:rPr>
        <w:t>estimates on the value of counterfeit</w:t>
      </w:r>
      <w:r w:rsidR="00FA0110" w:rsidRPr="00A6165C">
        <w:rPr>
          <w:rFonts w:cs="Arial"/>
        </w:rPr>
        <w:t xml:space="preserve"> products removed from the market and consumer detriment</w:t>
      </w:r>
      <w:r w:rsidR="00281B7C" w:rsidRPr="00A6165C">
        <w:rPr>
          <w:rFonts w:cs="Arial"/>
        </w:rPr>
        <w:t xml:space="preserve"> prevented; and the sums seized from defend</w:t>
      </w:r>
      <w:r w:rsidR="00045BDA" w:rsidRPr="00A6165C">
        <w:rPr>
          <w:rFonts w:cs="Arial"/>
        </w:rPr>
        <w:t>ants as a result of Proceeds of Crime sentences, fines and costs.</w:t>
      </w:r>
    </w:p>
    <w:sectPr w:rsidR="001D3AFC">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92EB" w14:textId="77777777" w:rsidR="0008123D" w:rsidRPr="00C803F3" w:rsidRDefault="0008123D" w:rsidP="00C803F3">
      <w:r>
        <w:separator/>
      </w:r>
    </w:p>
  </w:endnote>
  <w:endnote w:type="continuationSeparator" w:id="0">
    <w:p w14:paraId="1C8896F5" w14:textId="77777777" w:rsidR="0008123D" w:rsidRPr="00C803F3" w:rsidRDefault="0008123D" w:rsidP="00C803F3">
      <w:r>
        <w:continuationSeparator/>
      </w:r>
    </w:p>
  </w:endnote>
  <w:endnote w:type="continuationNotice" w:id="1">
    <w:p w14:paraId="7D5CB63B" w14:textId="77777777" w:rsidR="0008123D" w:rsidRDefault="00081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9070" w14:textId="77777777" w:rsidR="003219CC" w:rsidRDefault="003219CC" w:rsidP="003219CC">
    <w:pPr>
      <w:widowControl w:val="0"/>
      <w:spacing w:after="0" w:line="220" w:lineRule="exact"/>
      <w:ind w:left="-709" w:right="-852" w:firstLine="0"/>
      <w:rPr>
        <w:rFonts w:eastAsia="Times New Roman" w:cs="Arial"/>
        <w:sz w:val="15"/>
        <w:szCs w:val="15"/>
        <w:lang w:eastAsia="en-GB"/>
      </w:rPr>
    </w:pPr>
    <w:bookmarkStart w:id="2" w:name="_Hlk55306527"/>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bookmarkEnd w:id="2"/>
  <w:p w14:paraId="63A56368" w14:textId="77777777" w:rsidR="00B123FA" w:rsidRPr="003219CC" w:rsidRDefault="00B123F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920D" w14:textId="77777777" w:rsidR="0008123D" w:rsidRPr="00C803F3" w:rsidRDefault="0008123D" w:rsidP="00C803F3">
      <w:r>
        <w:separator/>
      </w:r>
    </w:p>
  </w:footnote>
  <w:footnote w:type="continuationSeparator" w:id="0">
    <w:p w14:paraId="290BB829" w14:textId="77777777" w:rsidR="0008123D" w:rsidRPr="00C803F3" w:rsidRDefault="0008123D" w:rsidP="00C803F3">
      <w:r>
        <w:continuationSeparator/>
      </w:r>
    </w:p>
  </w:footnote>
  <w:footnote w:type="continuationNotice" w:id="1">
    <w:p w14:paraId="6A590CC7" w14:textId="77777777" w:rsidR="0008123D" w:rsidRDefault="000812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63F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7A4E5B2" w14:textId="77777777" w:rsidTr="000F69FB">
      <w:trPr>
        <w:trHeight w:val="416"/>
      </w:trPr>
      <w:tc>
        <w:tcPr>
          <w:tcW w:w="5812" w:type="dxa"/>
          <w:vMerge w:val="restart"/>
        </w:tcPr>
        <w:p w14:paraId="4F9F778A" w14:textId="77777777" w:rsidR="000F69FB" w:rsidRPr="00C803F3" w:rsidRDefault="000F69FB" w:rsidP="00C803F3">
          <w:r w:rsidRPr="00C803F3">
            <w:rPr>
              <w:noProof/>
              <w:lang w:eastAsia="en-GB"/>
            </w:rPr>
            <w:drawing>
              <wp:inline distT="0" distB="0" distL="0" distR="0" wp14:anchorId="27CDAD4B" wp14:editId="187DD49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5139A65BA9743548B8E82869583EEF8"/>
          </w:placeholder>
        </w:sdtPr>
        <w:sdtContent>
          <w:tc>
            <w:tcPr>
              <w:tcW w:w="4106" w:type="dxa"/>
            </w:tcPr>
            <w:p w14:paraId="0160654E" w14:textId="582E86F3" w:rsidR="009F05D2" w:rsidRDefault="002F7E12" w:rsidP="00B80A40">
              <w:pPr>
                <w:ind w:left="0" w:firstLine="0"/>
              </w:pPr>
              <w:r w:rsidRPr="00B80A40">
                <w:rPr>
                  <w:b/>
                </w:rPr>
                <w:t xml:space="preserve">Safer and Stronger Communities </w:t>
              </w:r>
              <w:r w:rsidR="00FD4D44">
                <w:rPr>
                  <w:b/>
                </w:rPr>
                <w:t>Board</w:t>
              </w:r>
              <w:r>
                <w:t xml:space="preserve"> </w:t>
              </w:r>
            </w:p>
            <w:p w14:paraId="33B9BD6E" w14:textId="31F7901D" w:rsidR="000F69FB" w:rsidRPr="00C803F3" w:rsidRDefault="000F69FB" w:rsidP="00B80A40">
              <w:pPr>
                <w:ind w:left="0" w:firstLine="0"/>
              </w:pPr>
            </w:p>
          </w:tc>
        </w:sdtContent>
      </w:sdt>
    </w:tr>
    <w:tr w:rsidR="000F69FB" w14:paraId="6193498C" w14:textId="77777777" w:rsidTr="000F69FB">
      <w:trPr>
        <w:trHeight w:val="406"/>
      </w:trPr>
      <w:tc>
        <w:tcPr>
          <w:tcW w:w="5812" w:type="dxa"/>
          <w:vMerge/>
        </w:tcPr>
        <w:p w14:paraId="0C0CDB79" w14:textId="77777777" w:rsidR="000F69FB" w:rsidRPr="00A627DD" w:rsidRDefault="000F69FB" w:rsidP="00C803F3"/>
      </w:tc>
      <w:tc>
        <w:tcPr>
          <w:tcW w:w="4106" w:type="dxa"/>
        </w:tcPr>
        <w:sdt>
          <w:sdtPr>
            <w:alias w:val="Date"/>
            <w:tag w:val="Date"/>
            <w:id w:val="-488943452"/>
            <w:placeholder>
              <w:docPart w:val="D421CB5F5529477DB701E8F68F2F101E"/>
            </w:placeholder>
            <w:date w:fullDate="2020-11-12T00:00:00Z">
              <w:dateFormat w:val="dd MMMM yyyy"/>
              <w:lid w:val="en-GB"/>
              <w:storeMappedDataAs w:val="dateTime"/>
              <w:calendar w:val="gregorian"/>
            </w:date>
          </w:sdtPr>
          <w:sdtContent>
            <w:p w14:paraId="644C6388" w14:textId="1167EE39" w:rsidR="000F69FB" w:rsidRPr="00C803F3" w:rsidRDefault="00F73F0F" w:rsidP="00C803F3">
              <w:r>
                <w:t>12 November 2020</w:t>
              </w:r>
            </w:p>
          </w:sdtContent>
        </w:sdt>
      </w:tc>
    </w:tr>
    <w:tr w:rsidR="000F69FB" w:rsidRPr="00C25CA7" w14:paraId="1CF0DDE5" w14:textId="77777777" w:rsidTr="000F69FB">
      <w:trPr>
        <w:trHeight w:val="89"/>
      </w:trPr>
      <w:tc>
        <w:tcPr>
          <w:tcW w:w="5812" w:type="dxa"/>
          <w:vMerge/>
        </w:tcPr>
        <w:p w14:paraId="6A796456" w14:textId="77777777" w:rsidR="000F69FB" w:rsidRPr="00A627DD" w:rsidRDefault="000F69FB" w:rsidP="00C803F3"/>
      </w:tc>
      <w:tc>
        <w:tcPr>
          <w:tcW w:w="4106" w:type="dxa"/>
        </w:tcPr>
        <w:p w14:paraId="4E0B2756" w14:textId="052F92DF" w:rsidR="000F69FB" w:rsidRPr="00C803F3" w:rsidRDefault="000F69FB" w:rsidP="00B123FA"/>
      </w:tc>
    </w:tr>
  </w:tbl>
  <w:p w14:paraId="5F7D50E3"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71B"/>
    <w:multiLevelType w:val="multilevel"/>
    <w:tmpl w:val="2196F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F7A2C"/>
    <w:multiLevelType w:val="multilevel"/>
    <w:tmpl w:val="580E828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33CA1"/>
    <w:multiLevelType w:val="hybridMultilevel"/>
    <w:tmpl w:val="FBE05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B3AFC"/>
    <w:multiLevelType w:val="multilevel"/>
    <w:tmpl w:val="14CE7812"/>
    <w:lvl w:ilvl="0">
      <w:start w:val="19"/>
      <w:numFmt w:val="decimal"/>
      <w:lvlText w:val="%1"/>
      <w:lvlJc w:val="left"/>
      <w:pPr>
        <w:ind w:left="420" w:hanging="420"/>
      </w:pPr>
      <w:rPr>
        <w:rFonts w:hint="default"/>
        <w:color w:val="2D2D2D"/>
      </w:rPr>
    </w:lvl>
    <w:lvl w:ilvl="1">
      <w:start w:val="1"/>
      <w:numFmt w:val="decimal"/>
      <w:lvlText w:val="%1.%2"/>
      <w:lvlJc w:val="left"/>
      <w:pPr>
        <w:ind w:left="1064" w:hanging="420"/>
      </w:pPr>
      <w:rPr>
        <w:rFonts w:hint="default"/>
        <w:color w:val="2D2D2D"/>
      </w:rPr>
    </w:lvl>
    <w:lvl w:ilvl="2">
      <w:start w:val="1"/>
      <w:numFmt w:val="decimal"/>
      <w:lvlText w:val="%1.%2.%3"/>
      <w:lvlJc w:val="left"/>
      <w:pPr>
        <w:ind w:left="2008" w:hanging="720"/>
      </w:pPr>
      <w:rPr>
        <w:rFonts w:hint="default"/>
        <w:color w:val="2D2D2D"/>
      </w:rPr>
    </w:lvl>
    <w:lvl w:ilvl="3">
      <w:start w:val="1"/>
      <w:numFmt w:val="decimal"/>
      <w:lvlText w:val="%1.%2.%3.%4"/>
      <w:lvlJc w:val="left"/>
      <w:pPr>
        <w:ind w:left="2652" w:hanging="720"/>
      </w:pPr>
      <w:rPr>
        <w:rFonts w:hint="default"/>
        <w:color w:val="2D2D2D"/>
      </w:rPr>
    </w:lvl>
    <w:lvl w:ilvl="4">
      <w:start w:val="1"/>
      <w:numFmt w:val="decimal"/>
      <w:lvlText w:val="%1.%2.%3.%4.%5"/>
      <w:lvlJc w:val="left"/>
      <w:pPr>
        <w:ind w:left="3656" w:hanging="1080"/>
      </w:pPr>
      <w:rPr>
        <w:rFonts w:hint="default"/>
        <w:color w:val="2D2D2D"/>
      </w:rPr>
    </w:lvl>
    <w:lvl w:ilvl="5">
      <w:start w:val="1"/>
      <w:numFmt w:val="decimal"/>
      <w:lvlText w:val="%1.%2.%3.%4.%5.%6"/>
      <w:lvlJc w:val="left"/>
      <w:pPr>
        <w:ind w:left="4300" w:hanging="1080"/>
      </w:pPr>
      <w:rPr>
        <w:rFonts w:hint="default"/>
        <w:color w:val="2D2D2D"/>
      </w:rPr>
    </w:lvl>
    <w:lvl w:ilvl="6">
      <w:start w:val="1"/>
      <w:numFmt w:val="decimal"/>
      <w:lvlText w:val="%1.%2.%3.%4.%5.%6.%7"/>
      <w:lvlJc w:val="left"/>
      <w:pPr>
        <w:ind w:left="5304" w:hanging="1440"/>
      </w:pPr>
      <w:rPr>
        <w:rFonts w:hint="default"/>
        <w:color w:val="2D2D2D"/>
      </w:rPr>
    </w:lvl>
    <w:lvl w:ilvl="7">
      <w:start w:val="1"/>
      <w:numFmt w:val="decimal"/>
      <w:lvlText w:val="%1.%2.%3.%4.%5.%6.%7.%8"/>
      <w:lvlJc w:val="left"/>
      <w:pPr>
        <w:ind w:left="5948" w:hanging="1440"/>
      </w:pPr>
      <w:rPr>
        <w:rFonts w:hint="default"/>
        <w:color w:val="2D2D2D"/>
      </w:rPr>
    </w:lvl>
    <w:lvl w:ilvl="8">
      <w:start w:val="1"/>
      <w:numFmt w:val="decimal"/>
      <w:lvlText w:val="%1.%2.%3.%4.%5.%6.%7.%8.%9"/>
      <w:lvlJc w:val="left"/>
      <w:pPr>
        <w:ind w:left="6952" w:hanging="1800"/>
      </w:pPr>
      <w:rPr>
        <w:rFonts w:hint="default"/>
        <w:color w:val="2D2D2D"/>
      </w:rPr>
    </w:lvl>
  </w:abstractNum>
  <w:abstractNum w:abstractNumId="4" w15:restartNumberingAfterBreak="0">
    <w:nsid w:val="1D6F5E0E"/>
    <w:multiLevelType w:val="multilevel"/>
    <w:tmpl w:val="8988B2DA"/>
    <w:lvl w:ilvl="0">
      <w:start w:val="1"/>
      <w:numFmt w:val="decimal"/>
      <w:lvlText w:val="%1."/>
      <w:lvlJc w:val="left"/>
      <w:pPr>
        <w:ind w:left="360" w:hanging="360"/>
      </w:pPr>
      <w:rPr>
        <w:rFonts w:ascii="Arial" w:hAnsi="Arial" w:cs="Arial" w:hint="default"/>
        <w:b w:val="0"/>
        <w:b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373CF6"/>
    <w:multiLevelType w:val="hybridMultilevel"/>
    <w:tmpl w:val="EB12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F7375A"/>
    <w:multiLevelType w:val="hybridMultilevel"/>
    <w:tmpl w:val="23CCA0FA"/>
    <w:lvl w:ilvl="0" w:tplc="8206876E">
      <w:start w:val="13"/>
      <w:numFmt w:val="decimal"/>
      <w:lvlText w:val="%1"/>
      <w:lvlJc w:val="left"/>
      <w:pPr>
        <w:ind w:left="720" w:hanging="360"/>
      </w:pPr>
      <w:rPr>
        <w:rFonts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64CE7"/>
    <w:multiLevelType w:val="hybridMultilevel"/>
    <w:tmpl w:val="215C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C3A9A"/>
    <w:multiLevelType w:val="hybridMultilevel"/>
    <w:tmpl w:val="AC74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8B2755"/>
    <w:multiLevelType w:val="hybridMultilevel"/>
    <w:tmpl w:val="1D6E480C"/>
    <w:lvl w:ilvl="0" w:tplc="091E3672">
      <w:start w:val="1"/>
      <w:numFmt w:val="decimal"/>
      <w:lvlText w:val="%1."/>
      <w:lvlJc w:val="left"/>
      <w:pPr>
        <w:ind w:left="720" w:hanging="360"/>
      </w:pPr>
      <w:rPr>
        <w:rFonts w:cs="Arial" w:hint="default"/>
        <w:color w:val="2D2D2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9181A"/>
    <w:multiLevelType w:val="hybridMultilevel"/>
    <w:tmpl w:val="9B964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1C0564"/>
    <w:multiLevelType w:val="hybridMultilevel"/>
    <w:tmpl w:val="DE3C3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F513DF"/>
    <w:multiLevelType w:val="multilevel"/>
    <w:tmpl w:val="F12A71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15" w15:restartNumberingAfterBreak="0">
    <w:nsid w:val="2EA65122"/>
    <w:multiLevelType w:val="hybridMultilevel"/>
    <w:tmpl w:val="B12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61421"/>
    <w:multiLevelType w:val="hybridMultilevel"/>
    <w:tmpl w:val="AB567E5E"/>
    <w:lvl w:ilvl="0" w:tplc="F0CA0C2E">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E7724"/>
    <w:multiLevelType w:val="hybridMultilevel"/>
    <w:tmpl w:val="F13E9C04"/>
    <w:lvl w:ilvl="0" w:tplc="0809000F">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15:restartNumberingAfterBreak="0">
    <w:nsid w:val="3CBD4D0B"/>
    <w:multiLevelType w:val="multilevel"/>
    <w:tmpl w:val="C3BA5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E011A"/>
    <w:multiLevelType w:val="hybridMultilevel"/>
    <w:tmpl w:val="CA9C4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66782A"/>
    <w:multiLevelType w:val="hybridMultilevel"/>
    <w:tmpl w:val="893C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BC5FC0"/>
    <w:multiLevelType w:val="multilevel"/>
    <w:tmpl w:val="24DE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B404A0"/>
    <w:multiLevelType w:val="multilevel"/>
    <w:tmpl w:val="57E8BE4E"/>
    <w:lvl w:ilvl="0">
      <w:start w:val="21"/>
      <w:numFmt w:val="decimal"/>
      <w:lvlText w:val="%1"/>
      <w:lvlJc w:val="left"/>
      <w:pPr>
        <w:ind w:left="420" w:hanging="420"/>
      </w:pPr>
      <w:rPr>
        <w:rFonts w:eastAsia="Times New Roman" w:hint="default"/>
        <w:color w:val="2D2D2D"/>
      </w:rPr>
    </w:lvl>
    <w:lvl w:ilvl="1">
      <w:start w:val="1"/>
      <w:numFmt w:val="decimal"/>
      <w:lvlText w:val="%1.%2"/>
      <w:lvlJc w:val="left"/>
      <w:pPr>
        <w:ind w:left="1064" w:hanging="420"/>
      </w:pPr>
      <w:rPr>
        <w:rFonts w:eastAsia="Times New Roman" w:hint="default"/>
        <w:color w:val="2D2D2D"/>
      </w:rPr>
    </w:lvl>
    <w:lvl w:ilvl="2">
      <w:start w:val="1"/>
      <w:numFmt w:val="decimal"/>
      <w:lvlText w:val="%1.%2.%3"/>
      <w:lvlJc w:val="left"/>
      <w:pPr>
        <w:ind w:left="2008" w:hanging="720"/>
      </w:pPr>
      <w:rPr>
        <w:rFonts w:eastAsia="Times New Roman" w:hint="default"/>
        <w:color w:val="2D2D2D"/>
      </w:rPr>
    </w:lvl>
    <w:lvl w:ilvl="3">
      <w:start w:val="1"/>
      <w:numFmt w:val="decimal"/>
      <w:lvlText w:val="%1.%2.%3.%4"/>
      <w:lvlJc w:val="left"/>
      <w:pPr>
        <w:ind w:left="2652" w:hanging="720"/>
      </w:pPr>
      <w:rPr>
        <w:rFonts w:eastAsia="Times New Roman" w:hint="default"/>
        <w:color w:val="2D2D2D"/>
      </w:rPr>
    </w:lvl>
    <w:lvl w:ilvl="4">
      <w:start w:val="1"/>
      <w:numFmt w:val="decimal"/>
      <w:lvlText w:val="%1.%2.%3.%4.%5"/>
      <w:lvlJc w:val="left"/>
      <w:pPr>
        <w:ind w:left="3656" w:hanging="1080"/>
      </w:pPr>
      <w:rPr>
        <w:rFonts w:eastAsia="Times New Roman" w:hint="default"/>
        <w:color w:val="2D2D2D"/>
      </w:rPr>
    </w:lvl>
    <w:lvl w:ilvl="5">
      <w:start w:val="1"/>
      <w:numFmt w:val="decimal"/>
      <w:lvlText w:val="%1.%2.%3.%4.%5.%6"/>
      <w:lvlJc w:val="left"/>
      <w:pPr>
        <w:ind w:left="4300" w:hanging="1080"/>
      </w:pPr>
      <w:rPr>
        <w:rFonts w:eastAsia="Times New Roman" w:hint="default"/>
        <w:color w:val="2D2D2D"/>
      </w:rPr>
    </w:lvl>
    <w:lvl w:ilvl="6">
      <w:start w:val="1"/>
      <w:numFmt w:val="decimal"/>
      <w:lvlText w:val="%1.%2.%3.%4.%5.%6.%7"/>
      <w:lvlJc w:val="left"/>
      <w:pPr>
        <w:ind w:left="5304" w:hanging="1440"/>
      </w:pPr>
      <w:rPr>
        <w:rFonts w:eastAsia="Times New Roman" w:hint="default"/>
        <w:color w:val="2D2D2D"/>
      </w:rPr>
    </w:lvl>
    <w:lvl w:ilvl="7">
      <w:start w:val="1"/>
      <w:numFmt w:val="decimal"/>
      <w:lvlText w:val="%1.%2.%3.%4.%5.%6.%7.%8"/>
      <w:lvlJc w:val="left"/>
      <w:pPr>
        <w:ind w:left="5948" w:hanging="1440"/>
      </w:pPr>
      <w:rPr>
        <w:rFonts w:eastAsia="Times New Roman" w:hint="default"/>
        <w:color w:val="2D2D2D"/>
      </w:rPr>
    </w:lvl>
    <w:lvl w:ilvl="8">
      <w:start w:val="1"/>
      <w:numFmt w:val="decimal"/>
      <w:lvlText w:val="%1.%2.%3.%4.%5.%6.%7.%8.%9"/>
      <w:lvlJc w:val="left"/>
      <w:pPr>
        <w:ind w:left="6952" w:hanging="1800"/>
      </w:pPr>
      <w:rPr>
        <w:rFonts w:eastAsia="Times New Roman" w:hint="default"/>
        <w:color w:val="2D2D2D"/>
      </w:rPr>
    </w:lvl>
  </w:abstractNum>
  <w:abstractNum w:abstractNumId="23" w15:restartNumberingAfterBreak="0">
    <w:nsid w:val="5135209F"/>
    <w:multiLevelType w:val="hybridMultilevel"/>
    <w:tmpl w:val="6FAED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85568D"/>
    <w:multiLevelType w:val="hybridMultilevel"/>
    <w:tmpl w:val="86FAA710"/>
    <w:lvl w:ilvl="0" w:tplc="7DB88032">
      <w:start w:val="1"/>
      <w:numFmt w:val="decimal"/>
      <w:lvlText w:val="%1."/>
      <w:lvlJc w:val="left"/>
      <w:pPr>
        <w:ind w:left="644" w:hanging="360"/>
      </w:pPr>
      <w:rPr>
        <w:rFonts w:hint="default"/>
        <w:color w:val="000000" w:themeColor="text1"/>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E60633"/>
    <w:multiLevelType w:val="multilevel"/>
    <w:tmpl w:val="E5C20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2F5C7D"/>
    <w:multiLevelType w:val="multilevel"/>
    <w:tmpl w:val="DA50DEEA"/>
    <w:lvl w:ilvl="0">
      <w:start w:val="11"/>
      <w:numFmt w:val="decimal"/>
      <w:lvlText w:val="%1"/>
      <w:lvlJc w:val="left"/>
      <w:pPr>
        <w:ind w:left="420" w:hanging="420"/>
      </w:pPr>
      <w:rPr>
        <w:rFonts w:cstheme="minorBidi" w:hint="default"/>
      </w:rPr>
    </w:lvl>
    <w:lvl w:ilvl="1">
      <w:start w:val="1"/>
      <w:numFmt w:val="decimal"/>
      <w:lvlText w:val="%1.%2"/>
      <w:lvlJc w:val="left"/>
      <w:pPr>
        <w:ind w:left="1500" w:hanging="420"/>
      </w:pPr>
      <w:rPr>
        <w:rFonts w:cstheme="minorBidi" w:hint="default"/>
      </w:rPr>
    </w:lvl>
    <w:lvl w:ilvl="2">
      <w:start w:val="1"/>
      <w:numFmt w:val="decimal"/>
      <w:lvlText w:val="%1.%2.%3"/>
      <w:lvlJc w:val="left"/>
      <w:pPr>
        <w:ind w:left="2880" w:hanging="720"/>
      </w:pPr>
      <w:rPr>
        <w:rFonts w:cstheme="minorBidi" w:hint="default"/>
      </w:rPr>
    </w:lvl>
    <w:lvl w:ilvl="3">
      <w:start w:val="1"/>
      <w:numFmt w:val="decimal"/>
      <w:lvlText w:val="%1.%2.%3.%4"/>
      <w:lvlJc w:val="left"/>
      <w:pPr>
        <w:ind w:left="3960" w:hanging="720"/>
      </w:pPr>
      <w:rPr>
        <w:rFonts w:cstheme="minorBidi" w:hint="default"/>
      </w:rPr>
    </w:lvl>
    <w:lvl w:ilvl="4">
      <w:start w:val="1"/>
      <w:numFmt w:val="decimal"/>
      <w:lvlText w:val="%1.%2.%3.%4.%5"/>
      <w:lvlJc w:val="left"/>
      <w:pPr>
        <w:ind w:left="5400" w:hanging="1080"/>
      </w:pPr>
      <w:rPr>
        <w:rFonts w:cstheme="minorBidi" w:hint="default"/>
      </w:rPr>
    </w:lvl>
    <w:lvl w:ilvl="5">
      <w:start w:val="1"/>
      <w:numFmt w:val="decimal"/>
      <w:lvlText w:val="%1.%2.%3.%4.%5.%6"/>
      <w:lvlJc w:val="left"/>
      <w:pPr>
        <w:ind w:left="6480" w:hanging="1080"/>
      </w:pPr>
      <w:rPr>
        <w:rFonts w:cstheme="minorBidi" w:hint="default"/>
      </w:rPr>
    </w:lvl>
    <w:lvl w:ilvl="6">
      <w:start w:val="1"/>
      <w:numFmt w:val="decimal"/>
      <w:lvlText w:val="%1.%2.%3.%4.%5.%6.%7"/>
      <w:lvlJc w:val="left"/>
      <w:pPr>
        <w:ind w:left="7920" w:hanging="1440"/>
      </w:pPr>
      <w:rPr>
        <w:rFonts w:cstheme="minorBidi" w:hint="default"/>
      </w:rPr>
    </w:lvl>
    <w:lvl w:ilvl="7">
      <w:start w:val="1"/>
      <w:numFmt w:val="decimal"/>
      <w:lvlText w:val="%1.%2.%3.%4.%5.%6.%7.%8"/>
      <w:lvlJc w:val="left"/>
      <w:pPr>
        <w:ind w:left="9000" w:hanging="1440"/>
      </w:pPr>
      <w:rPr>
        <w:rFonts w:cstheme="minorBidi" w:hint="default"/>
      </w:rPr>
    </w:lvl>
    <w:lvl w:ilvl="8">
      <w:start w:val="1"/>
      <w:numFmt w:val="decimal"/>
      <w:lvlText w:val="%1.%2.%3.%4.%5.%6.%7.%8.%9"/>
      <w:lvlJc w:val="left"/>
      <w:pPr>
        <w:ind w:left="10440" w:hanging="1800"/>
      </w:pPr>
      <w:rPr>
        <w:rFonts w:cstheme="minorBidi" w:hint="default"/>
      </w:rPr>
    </w:lvl>
  </w:abstractNum>
  <w:abstractNum w:abstractNumId="27" w15:restartNumberingAfterBreak="0">
    <w:nsid w:val="61803066"/>
    <w:multiLevelType w:val="hybridMultilevel"/>
    <w:tmpl w:val="86FAA710"/>
    <w:lvl w:ilvl="0" w:tplc="7DB88032">
      <w:start w:val="1"/>
      <w:numFmt w:val="decimal"/>
      <w:lvlText w:val="%1."/>
      <w:lvlJc w:val="left"/>
      <w:pPr>
        <w:ind w:left="644" w:hanging="360"/>
      </w:pPr>
      <w:rPr>
        <w:rFonts w:hint="default"/>
        <w:color w:val="000000" w:themeColor="text1"/>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452A24"/>
    <w:multiLevelType w:val="hybridMultilevel"/>
    <w:tmpl w:val="B8646C50"/>
    <w:lvl w:ilvl="0" w:tplc="7C66C394">
      <w:start w:val="1"/>
      <w:numFmt w:val="decimal"/>
      <w:lvlText w:val="%1."/>
      <w:lvlJc w:val="left"/>
      <w:pPr>
        <w:ind w:left="720" w:hanging="360"/>
      </w:pPr>
      <w:rPr>
        <w:rFonts w:eastAsia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C575D4"/>
    <w:multiLevelType w:val="hybridMultilevel"/>
    <w:tmpl w:val="307C7C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8317303"/>
    <w:multiLevelType w:val="hybridMultilevel"/>
    <w:tmpl w:val="0D2A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44088"/>
    <w:multiLevelType w:val="hybridMultilevel"/>
    <w:tmpl w:val="3AF2C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406DA6"/>
    <w:multiLevelType w:val="hybridMultilevel"/>
    <w:tmpl w:val="2942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9"/>
  </w:num>
  <w:num w:numId="7">
    <w:abstractNumId w:val="8"/>
  </w:num>
  <w:num w:numId="8">
    <w:abstractNumId w:val="18"/>
  </w:num>
  <w:num w:numId="9">
    <w:abstractNumId w:val="21"/>
  </w:num>
  <w:num w:numId="10">
    <w:abstractNumId w:val="0"/>
  </w:num>
  <w:num w:numId="11">
    <w:abstractNumId w:val="7"/>
  </w:num>
  <w:num w:numId="12">
    <w:abstractNumId w:val="32"/>
  </w:num>
  <w:num w:numId="13">
    <w:abstractNumId w:val="15"/>
  </w:num>
  <w:num w:numId="14">
    <w:abstractNumId w:val="7"/>
  </w:num>
  <w:num w:numId="15">
    <w:abstractNumId w:val="7"/>
  </w:num>
  <w:num w:numId="16">
    <w:abstractNumId w:val="1"/>
  </w:num>
  <w:num w:numId="17">
    <w:abstractNumId w:val="30"/>
  </w:num>
  <w:num w:numId="18">
    <w:abstractNumId w:val="19"/>
  </w:num>
  <w:num w:numId="19">
    <w:abstractNumId w:val="17"/>
  </w:num>
  <w:num w:numId="20">
    <w:abstractNumId w:val="12"/>
  </w:num>
  <w:num w:numId="21">
    <w:abstractNumId w:val="13"/>
  </w:num>
  <w:num w:numId="22">
    <w:abstractNumId w:val="10"/>
  </w:num>
  <w:num w:numId="23">
    <w:abstractNumId w:val="5"/>
  </w:num>
  <w:num w:numId="24">
    <w:abstractNumId w:val="28"/>
  </w:num>
  <w:num w:numId="25">
    <w:abstractNumId w:val="16"/>
  </w:num>
  <w:num w:numId="26">
    <w:abstractNumId w:val="11"/>
  </w:num>
  <w:num w:numId="27">
    <w:abstractNumId w:val="23"/>
  </w:num>
  <w:num w:numId="28">
    <w:abstractNumId w:val="31"/>
  </w:num>
  <w:num w:numId="29">
    <w:abstractNumId w:val="2"/>
  </w:num>
  <w:num w:numId="30">
    <w:abstractNumId w:val="14"/>
  </w:num>
  <w:num w:numId="31">
    <w:abstractNumId w:val="27"/>
  </w:num>
  <w:num w:numId="32">
    <w:abstractNumId w:val="26"/>
  </w:num>
  <w:num w:numId="33">
    <w:abstractNumId w:val="7"/>
  </w:num>
  <w:num w:numId="34">
    <w:abstractNumId w:val="25"/>
  </w:num>
  <w:num w:numId="35">
    <w:abstractNumId w:val="3"/>
  </w:num>
  <w:num w:numId="36">
    <w:abstractNumId w:val="2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12"/>
    <w:rsid w:val="00000816"/>
    <w:rsid w:val="0000105E"/>
    <w:rsid w:val="00005D38"/>
    <w:rsid w:val="00006FA1"/>
    <w:rsid w:val="000076AD"/>
    <w:rsid w:val="00014C5D"/>
    <w:rsid w:val="00016097"/>
    <w:rsid w:val="00023739"/>
    <w:rsid w:val="000239BF"/>
    <w:rsid w:val="000319B3"/>
    <w:rsid w:val="000319E9"/>
    <w:rsid w:val="00031F00"/>
    <w:rsid w:val="000327E2"/>
    <w:rsid w:val="00033232"/>
    <w:rsid w:val="0003396C"/>
    <w:rsid w:val="00041192"/>
    <w:rsid w:val="00045BDA"/>
    <w:rsid w:val="00051720"/>
    <w:rsid w:val="00060ADB"/>
    <w:rsid w:val="00062E58"/>
    <w:rsid w:val="00066710"/>
    <w:rsid w:val="000671AC"/>
    <w:rsid w:val="00075614"/>
    <w:rsid w:val="000769E8"/>
    <w:rsid w:val="0008123D"/>
    <w:rsid w:val="00083C39"/>
    <w:rsid w:val="00085B18"/>
    <w:rsid w:val="00085C8E"/>
    <w:rsid w:val="00085CBD"/>
    <w:rsid w:val="00085DF3"/>
    <w:rsid w:val="000861FE"/>
    <w:rsid w:val="00086746"/>
    <w:rsid w:val="00087407"/>
    <w:rsid w:val="00096123"/>
    <w:rsid w:val="000970E1"/>
    <w:rsid w:val="000A5415"/>
    <w:rsid w:val="000A5456"/>
    <w:rsid w:val="000A5F14"/>
    <w:rsid w:val="000A713F"/>
    <w:rsid w:val="000B01DF"/>
    <w:rsid w:val="000B13D1"/>
    <w:rsid w:val="000B3432"/>
    <w:rsid w:val="000B74F8"/>
    <w:rsid w:val="000B7F22"/>
    <w:rsid w:val="000C1045"/>
    <w:rsid w:val="000C15D2"/>
    <w:rsid w:val="000C5BCA"/>
    <w:rsid w:val="000C7246"/>
    <w:rsid w:val="000C7AE9"/>
    <w:rsid w:val="000D0DE2"/>
    <w:rsid w:val="000D14AD"/>
    <w:rsid w:val="000D223E"/>
    <w:rsid w:val="000D2BF2"/>
    <w:rsid w:val="000D39FC"/>
    <w:rsid w:val="000D3EF4"/>
    <w:rsid w:val="000D4C6D"/>
    <w:rsid w:val="000D4DB1"/>
    <w:rsid w:val="000E7356"/>
    <w:rsid w:val="000F0DC8"/>
    <w:rsid w:val="000F229B"/>
    <w:rsid w:val="000F64A8"/>
    <w:rsid w:val="000F6956"/>
    <w:rsid w:val="000F69FB"/>
    <w:rsid w:val="000F76EF"/>
    <w:rsid w:val="00104631"/>
    <w:rsid w:val="00104840"/>
    <w:rsid w:val="00110A89"/>
    <w:rsid w:val="001130A6"/>
    <w:rsid w:val="001169AC"/>
    <w:rsid w:val="00117B83"/>
    <w:rsid w:val="00122C4C"/>
    <w:rsid w:val="00131525"/>
    <w:rsid w:val="00135CF8"/>
    <w:rsid w:val="00141C6E"/>
    <w:rsid w:val="001421C1"/>
    <w:rsid w:val="0014426B"/>
    <w:rsid w:val="00151A63"/>
    <w:rsid w:val="001527AC"/>
    <w:rsid w:val="001537B2"/>
    <w:rsid w:val="00157F55"/>
    <w:rsid w:val="00160F0E"/>
    <w:rsid w:val="00161376"/>
    <w:rsid w:val="00166547"/>
    <w:rsid w:val="00166B7A"/>
    <w:rsid w:val="0017048C"/>
    <w:rsid w:val="001721C3"/>
    <w:rsid w:val="001737B1"/>
    <w:rsid w:val="001740A5"/>
    <w:rsid w:val="00174A65"/>
    <w:rsid w:val="00175A31"/>
    <w:rsid w:val="00182DBC"/>
    <w:rsid w:val="00185B4A"/>
    <w:rsid w:val="001A14CB"/>
    <w:rsid w:val="001A2170"/>
    <w:rsid w:val="001A2BD8"/>
    <w:rsid w:val="001A3BB1"/>
    <w:rsid w:val="001A7FA7"/>
    <w:rsid w:val="001B20ED"/>
    <w:rsid w:val="001B36CE"/>
    <w:rsid w:val="001C33D9"/>
    <w:rsid w:val="001C3D70"/>
    <w:rsid w:val="001D0499"/>
    <w:rsid w:val="001D3AFC"/>
    <w:rsid w:val="001D47BB"/>
    <w:rsid w:val="001D5DB5"/>
    <w:rsid w:val="001D6EC5"/>
    <w:rsid w:val="001E01A2"/>
    <w:rsid w:val="001E0B54"/>
    <w:rsid w:val="001E2012"/>
    <w:rsid w:val="001E6364"/>
    <w:rsid w:val="001E78BD"/>
    <w:rsid w:val="001E7C55"/>
    <w:rsid w:val="001F0235"/>
    <w:rsid w:val="001F26B5"/>
    <w:rsid w:val="001F3855"/>
    <w:rsid w:val="001F41C4"/>
    <w:rsid w:val="00202286"/>
    <w:rsid w:val="00203B5D"/>
    <w:rsid w:val="00204CF2"/>
    <w:rsid w:val="00212271"/>
    <w:rsid w:val="00214ECD"/>
    <w:rsid w:val="00217BD7"/>
    <w:rsid w:val="0022765B"/>
    <w:rsid w:val="002276A4"/>
    <w:rsid w:val="00230E96"/>
    <w:rsid w:val="00235078"/>
    <w:rsid w:val="00242A56"/>
    <w:rsid w:val="002436D9"/>
    <w:rsid w:val="0024451A"/>
    <w:rsid w:val="00244D18"/>
    <w:rsid w:val="00245EB5"/>
    <w:rsid w:val="002460E9"/>
    <w:rsid w:val="002508BD"/>
    <w:rsid w:val="002539E9"/>
    <w:rsid w:val="00255AAB"/>
    <w:rsid w:val="00255CEB"/>
    <w:rsid w:val="00261C9D"/>
    <w:rsid w:val="00263800"/>
    <w:rsid w:val="00264209"/>
    <w:rsid w:val="00265018"/>
    <w:rsid w:val="00266742"/>
    <w:rsid w:val="00270E46"/>
    <w:rsid w:val="00274D32"/>
    <w:rsid w:val="00276261"/>
    <w:rsid w:val="00277027"/>
    <w:rsid w:val="002812D4"/>
    <w:rsid w:val="00281B7C"/>
    <w:rsid w:val="0028325F"/>
    <w:rsid w:val="00290388"/>
    <w:rsid w:val="00293B45"/>
    <w:rsid w:val="002942DE"/>
    <w:rsid w:val="0029481A"/>
    <w:rsid w:val="002A0C71"/>
    <w:rsid w:val="002A15FD"/>
    <w:rsid w:val="002A382D"/>
    <w:rsid w:val="002A67F4"/>
    <w:rsid w:val="002A6824"/>
    <w:rsid w:val="002A7151"/>
    <w:rsid w:val="002B04C2"/>
    <w:rsid w:val="002B1158"/>
    <w:rsid w:val="002C03BB"/>
    <w:rsid w:val="002C07B7"/>
    <w:rsid w:val="002C089E"/>
    <w:rsid w:val="002C753F"/>
    <w:rsid w:val="002D4E7F"/>
    <w:rsid w:val="002D6B3D"/>
    <w:rsid w:val="002E3DF0"/>
    <w:rsid w:val="002E66B5"/>
    <w:rsid w:val="002E77FA"/>
    <w:rsid w:val="002F2164"/>
    <w:rsid w:val="002F2F22"/>
    <w:rsid w:val="002F5DB2"/>
    <w:rsid w:val="002F6F59"/>
    <w:rsid w:val="002F7E12"/>
    <w:rsid w:val="00301A51"/>
    <w:rsid w:val="00304DC5"/>
    <w:rsid w:val="00307751"/>
    <w:rsid w:val="0031362A"/>
    <w:rsid w:val="00314C3F"/>
    <w:rsid w:val="00315830"/>
    <w:rsid w:val="00321305"/>
    <w:rsid w:val="003219CC"/>
    <w:rsid w:val="00321C8E"/>
    <w:rsid w:val="003234F7"/>
    <w:rsid w:val="0032724C"/>
    <w:rsid w:val="003313A7"/>
    <w:rsid w:val="00333326"/>
    <w:rsid w:val="00334757"/>
    <w:rsid w:val="003374B0"/>
    <w:rsid w:val="00341F67"/>
    <w:rsid w:val="00342B07"/>
    <w:rsid w:val="003464BD"/>
    <w:rsid w:val="00346A23"/>
    <w:rsid w:val="003479E4"/>
    <w:rsid w:val="00355853"/>
    <w:rsid w:val="00361C41"/>
    <w:rsid w:val="003651A4"/>
    <w:rsid w:val="00370079"/>
    <w:rsid w:val="00370504"/>
    <w:rsid w:val="0037185D"/>
    <w:rsid w:val="00377967"/>
    <w:rsid w:val="00377C19"/>
    <w:rsid w:val="00381E6E"/>
    <w:rsid w:val="00382F21"/>
    <w:rsid w:val="00391347"/>
    <w:rsid w:val="003936FF"/>
    <w:rsid w:val="00395828"/>
    <w:rsid w:val="00397B75"/>
    <w:rsid w:val="003A0499"/>
    <w:rsid w:val="003A3FDE"/>
    <w:rsid w:val="003A4273"/>
    <w:rsid w:val="003A42E7"/>
    <w:rsid w:val="003A4777"/>
    <w:rsid w:val="003A5514"/>
    <w:rsid w:val="003A78DC"/>
    <w:rsid w:val="003B12E2"/>
    <w:rsid w:val="003B1CBE"/>
    <w:rsid w:val="003B4AEE"/>
    <w:rsid w:val="003C0DA4"/>
    <w:rsid w:val="003C2006"/>
    <w:rsid w:val="003C4850"/>
    <w:rsid w:val="003C49E9"/>
    <w:rsid w:val="003C54E7"/>
    <w:rsid w:val="003D67FE"/>
    <w:rsid w:val="003E3AD0"/>
    <w:rsid w:val="003F07A0"/>
    <w:rsid w:val="003F2849"/>
    <w:rsid w:val="003F7693"/>
    <w:rsid w:val="004000CA"/>
    <w:rsid w:val="00403B4B"/>
    <w:rsid w:val="00415429"/>
    <w:rsid w:val="00420A93"/>
    <w:rsid w:val="004235B6"/>
    <w:rsid w:val="00423AE2"/>
    <w:rsid w:val="004318F2"/>
    <w:rsid w:val="00432FE9"/>
    <w:rsid w:val="00434081"/>
    <w:rsid w:val="00434A72"/>
    <w:rsid w:val="00435A68"/>
    <w:rsid w:val="00436FD6"/>
    <w:rsid w:val="004421AF"/>
    <w:rsid w:val="0044376A"/>
    <w:rsid w:val="00445449"/>
    <w:rsid w:val="00450C13"/>
    <w:rsid w:val="00453385"/>
    <w:rsid w:val="004535D9"/>
    <w:rsid w:val="00455444"/>
    <w:rsid w:val="00461193"/>
    <w:rsid w:val="00467F6B"/>
    <w:rsid w:val="004714CC"/>
    <w:rsid w:val="00472C62"/>
    <w:rsid w:val="00476D63"/>
    <w:rsid w:val="00477B66"/>
    <w:rsid w:val="00490F01"/>
    <w:rsid w:val="00491C9F"/>
    <w:rsid w:val="004953A3"/>
    <w:rsid w:val="00495E17"/>
    <w:rsid w:val="004971A5"/>
    <w:rsid w:val="004C0912"/>
    <w:rsid w:val="004D450E"/>
    <w:rsid w:val="004D6292"/>
    <w:rsid w:val="004E0CDC"/>
    <w:rsid w:val="004E1F58"/>
    <w:rsid w:val="004E562C"/>
    <w:rsid w:val="004F1BE2"/>
    <w:rsid w:val="004F6570"/>
    <w:rsid w:val="004F7F22"/>
    <w:rsid w:val="00503341"/>
    <w:rsid w:val="0050376E"/>
    <w:rsid w:val="00504CA4"/>
    <w:rsid w:val="00512166"/>
    <w:rsid w:val="00512C44"/>
    <w:rsid w:val="00517679"/>
    <w:rsid w:val="00520D65"/>
    <w:rsid w:val="005245D0"/>
    <w:rsid w:val="0052665B"/>
    <w:rsid w:val="00531FDF"/>
    <w:rsid w:val="0054275A"/>
    <w:rsid w:val="00545852"/>
    <w:rsid w:val="005503AD"/>
    <w:rsid w:val="0055042F"/>
    <w:rsid w:val="00552C27"/>
    <w:rsid w:val="00555F89"/>
    <w:rsid w:val="005622E4"/>
    <w:rsid w:val="005729B2"/>
    <w:rsid w:val="00573657"/>
    <w:rsid w:val="00574728"/>
    <w:rsid w:val="00582F94"/>
    <w:rsid w:val="005851C1"/>
    <w:rsid w:val="00593DB3"/>
    <w:rsid w:val="00595748"/>
    <w:rsid w:val="005A03D5"/>
    <w:rsid w:val="005A0BAA"/>
    <w:rsid w:val="005B2A20"/>
    <w:rsid w:val="005B2FC5"/>
    <w:rsid w:val="005B5556"/>
    <w:rsid w:val="005B7DED"/>
    <w:rsid w:val="005C527C"/>
    <w:rsid w:val="005C79FA"/>
    <w:rsid w:val="005D48A6"/>
    <w:rsid w:val="005D4B2D"/>
    <w:rsid w:val="005D50A8"/>
    <w:rsid w:val="005E5350"/>
    <w:rsid w:val="005E6976"/>
    <w:rsid w:val="005E7CDF"/>
    <w:rsid w:val="005F257A"/>
    <w:rsid w:val="00601B26"/>
    <w:rsid w:val="0060362E"/>
    <w:rsid w:val="00607033"/>
    <w:rsid w:val="006134F4"/>
    <w:rsid w:val="006141BE"/>
    <w:rsid w:val="00620153"/>
    <w:rsid w:val="00624067"/>
    <w:rsid w:val="00627702"/>
    <w:rsid w:val="00630939"/>
    <w:rsid w:val="00631ECE"/>
    <w:rsid w:val="00633DC8"/>
    <w:rsid w:val="00635F86"/>
    <w:rsid w:val="00636B3E"/>
    <w:rsid w:val="0063718F"/>
    <w:rsid w:val="006400CD"/>
    <w:rsid w:val="00644846"/>
    <w:rsid w:val="00644950"/>
    <w:rsid w:val="00647125"/>
    <w:rsid w:val="00650E92"/>
    <w:rsid w:val="00651411"/>
    <w:rsid w:val="00651C8F"/>
    <w:rsid w:val="00651CFD"/>
    <w:rsid w:val="006531EC"/>
    <w:rsid w:val="006541BC"/>
    <w:rsid w:val="0065421C"/>
    <w:rsid w:val="0065436D"/>
    <w:rsid w:val="00656405"/>
    <w:rsid w:val="006643E4"/>
    <w:rsid w:val="00664CCF"/>
    <w:rsid w:val="006664B2"/>
    <w:rsid w:val="00666959"/>
    <w:rsid w:val="00666F2C"/>
    <w:rsid w:val="00670D6E"/>
    <w:rsid w:val="00673089"/>
    <w:rsid w:val="006739B1"/>
    <w:rsid w:val="00677304"/>
    <w:rsid w:val="006774EC"/>
    <w:rsid w:val="0068639B"/>
    <w:rsid w:val="0069002C"/>
    <w:rsid w:val="00692AFB"/>
    <w:rsid w:val="00695395"/>
    <w:rsid w:val="006A3EC1"/>
    <w:rsid w:val="006A4FF6"/>
    <w:rsid w:val="006B2635"/>
    <w:rsid w:val="006B4252"/>
    <w:rsid w:val="006B6C51"/>
    <w:rsid w:val="006C1B42"/>
    <w:rsid w:val="006C6562"/>
    <w:rsid w:val="006D2A98"/>
    <w:rsid w:val="006D5243"/>
    <w:rsid w:val="006D7B86"/>
    <w:rsid w:val="006E31FC"/>
    <w:rsid w:val="006E4052"/>
    <w:rsid w:val="006E4064"/>
    <w:rsid w:val="006F0BBE"/>
    <w:rsid w:val="006F4E64"/>
    <w:rsid w:val="006F71FB"/>
    <w:rsid w:val="006F7851"/>
    <w:rsid w:val="0070173B"/>
    <w:rsid w:val="00702F08"/>
    <w:rsid w:val="00703A17"/>
    <w:rsid w:val="00712C86"/>
    <w:rsid w:val="00713B71"/>
    <w:rsid w:val="00716481"/>
    <w:rsid w:val="00717EA8"/>
    <w:rsid w:val="00720CF2"/>
    <w:rsid w:val="00725867"/>
    <w:rsid w:val="00730A5F"/>
    <w:rsid w:val="007326AB"/>
    <w:rsid w:val="00736FD5"/>
    <w:rsid w:val="0074057C"/>
    <w:rsid w:val="007412CF"/>
    <w:rsid w:val="00742965"/>
    <w:rsid w:val="00745248"/>
    <w:rsid w:val="00746FC2"/>
    <w:rsid w:val="00757012"/>
    <w:rsid w:val="0076075D"/>
    <w:rsid w:val="00761F8E"/>
    <w:rsid w:val="0076224D"/>
    <w:rsid w:val="007622BA"/>
    <w:rsid w:val="0076491A"/>
    <w:rsid w:val="00766AE3"/>
    <w:rsid w:val="007675B8"/>
    <w:rsid w:val="00770494"/>
    <w:rsid w:val="00771E9D"/>
    <w:rsid w:val="00774191"/>
    <w:rsid w:val="00782A5B"/>
    <w:rsid w:val="0078666D"/>
    <w:rsid w:val="00791DFF"/>
    <w:rsid w:val="00792949"/>
    <w:rsid w:val="00794CF4"/>
    <w:rsid w:val="00794EE6"/>
    <w:rsid w:val="00795C95"/>
    <w:rsid w:val="00796473"/>
    <w:rsid w:val="007A0A09"/>
    <w:rsid w:val="007A1BBC"/>
    <w:rsid w:val="007A2956"/>
    <w:rsid w:val="007A2AE9"/>
    <w:rsid w:val="007A3085"/>
    <w:rsid w:val="007A423B"/>
    <w:rsid w:val="007B11F1"/>
    <w:rsid w:val="007B3065"/>
    <w:rsid w:val="007B5E8D"/>
    <w:rsid w:val="007C0F72"/>
    <w:rsid w:val="007D125A"/>
    <w:rsid w:val="007D1518"/>
    <w:rsid w:val="007D42A7"/>
    <w:rsid w:val="007D5123"/>
    <w:rsid w:val="007F5ACF"/>
    <w:rsid w:val="00800951"/>
    <w:rsid w:val="00803FF5"/>
    <w:rsid w:val="0080661C"/>
    <w:rsid w:val="00820F3A"/>
    <w:rsid w:val="008235A3"/>
    <w:rsid w:val="00831A75"/>
    <w:rsid w:val="00850B22"/>
    <w:rsid w:val="008522AB"/>
    <w:rsid w:val="00854818"/>
    <w:rsid w:val="00854BD9"/>
    <w:rsid w:val="00863932"/>
    <w:rsid w:val="00863E11"/>
    <w:rsid w:val="00865A1C"/>
    <w:rsid w:val="00873110"/>
    <w:rsid w:val="0087357B"/>
    <w:rsid w:val="0087548B"/>
    <w:rsid w:val="00875ADB"/>
    <w:rsid w:val="008763E0"/>
    <w:rsid w:val="0087765F"/>
    <w:rsid w:val="00877C5E"/>
    <w:rsid w:val="00881A2A"/>
    <w:rsid w:val="0088268B"/>
    <w:rsid w:val="0088749D"/>
    <w:rsid w:val="00890E49"/>
    <w:rsid w:val="0089193F"/>
    <w:rsid w:val="00891AE9"/>
    <w:rsid w:val="00893270"/>
    <w:rsid w:val="0089385F"/>
    <w:rsid w:val="00896409"/>
    <w:rsid w:val="00897EA7"/>
    <w:rsid w:val="008A1EDF"/>
    <w:rsid w:val="008A34EE"/>
    <w:rsid w:val="008A5FBD"/>
    <w:rsid w:val="008A7618"/>
    <w:rsid w:val="008B0CD2"/>
    <w:rsid w:val="008B2F24"/>
    <w:rsid w:val="008B31E5"/>
    <w:rsid w:val="008B3C9B"/>
    <w:rsid w:val="008B4A30"/>
    <w:rsid w:val="008B59A6"/>
    <w:rsid w:val="008B6AF4"/>
    <w:rsid w:val="008B6C73"/>
    <w:rsid w:val="008B7A77"/>
    <w:rsid w:val="008C0B57"/>
    <w:rsid w:val="008C3039"/>
    <w:rsid w:val="008C6A9E"/>
    <w:rsid w:val="008D293F"/>
    <w:rsid w:val="008D5D3E"/>
    <w:rsid w:val="008D60B4"/>
    <w:rsid w:val="008E0946"/>
    <w:rsid w:val="008E0B3A"/>
    <w:rsid w:val="008E1AFD"/>
    <w:rsid w:val="008E1C74"/>
    <w:rsid w:val="008E6769"/>
    <w:rsid w:val="008F0B7A"/>
    <w:rsid w:val="00902685"/>
    <w:rsid w:val="0090711A"/>
    <w:rsid w:val="00911C8D"/>
    <w:rsid w:val="00932E36"/>
    <w:rsid w:val="0093306A"/>
    <w:rsid w:val="009421A7"/>
    <w:rsid w:val="00942593"/>
    <w:rsid w:val="00944456"/>
    <w:rsid w:val="00945237"/>
    <w:rsid w:val="0094696E"/>
    <w:rsid w:val="009517DF"/>
    <w:rsid w:val="009538EB"/>
    <w:rsid w:val="009560A3"/>
    <w:rsid w:val="00962341"/>
    <w:rsid w:val="00962FFE"/>
    <w:rsid w:val="009631D2"/>
    <w:rsid w:val="00963314"/>
    <w:rsid w:val="009648C9"/>
    <w:rsid w:val="00971CE1"/>
    <w:rsid w:val="00972EC0"/>
    <w:rsid w:val="00973C99"/>
    <w:rsid w:val="00983CA7"/>
    <w:rsid w:val="00985A34"/>
    <w:rsid w:val="0099195F"/>
    <w:rsid w:val="00993A05"/>
    <w:rsid w:val="009955F8"/>
    <w:rsid w:val="00996751"/>
    <w:rsid w:val="009A15B2"/>
    <w:rsid w:val="009A2EB9"/>
    <w:rsid w:val="009B0028"/>
    <w:rsid w:val="009B1335"/>
    <w:rsid w:val="009B1AA8"/>
    <w:rsid w:val="009B558D"/>
    <w:rsid w:val="009B6F95"/>
    <w:rsid w:val="009B709D"/>
    <w:rsid w:val="009B79D2"/>
    <w:rsid w:val="009C2C45"/>
    <w:rsid w:val="009C4BD2"/>
    <w:rsid w:val="009C52E8"/>
    <w:rsid w:val="009D3B0D"/>
    <w:rsid w:val="009D6DAE"/>
    <w:rsid w:val="009D7235"/>
    <w:rsid w:val="009E1D82"/>
    <w:rsid w:val="009E2AE6"/>
    <w:rsid w:val="009E4C24"/>
    <w:rsid w:val="009F00A7"/>
    <w:rsid w:val="009F05D2"/>
    <w:rsid w:val="009F34EE"/>
    <w:rsid w:val="009F47A0"/>
    <w:rsid w:val="009F57FC"/>
    <w:rsid w:val="009F5852"/>
    <w:rsid w:val="009F6417"/>
    <w:rsid w:val="009F6960"/>
    <w:rsid w:val="00A0048A"/>
    <w:rsid w:val="00A01958"/>
    <w:rsid w:val="00A01E6F"/>
    <w:rsid w:val="00A1103C"/>
    <w:rsid w:val="00A14D69"/>
    <w:rsid w:val="00A168AE"/>
    <w:rsid w:val="00A20BFB"/>
    <w:rsid w:val="00A25006"/>
    <w:rsid w:val="00A27512"/>
    <w:rsid w:val="00A30367"/>
    <w:rsid w:val="00A36669"/>
    <w:rsid w:val="00A41047"/>
    <w:rsid w:val="00A417E3"/>
    <w:rsid w:val="00A43AD5"/>
    <w:rsid w:val="00A50E72"/>
    <w:rsid w:val="00A535BE"/>
    <w:rsid w:val="00A55D21"/>
    <w:rsid w:val="00A5692F"/>
    <w:rsid w:val="00A6165C"/>
    <w:rsid w:val="00A62954"/>
    <w:rsid w:val="00A70FDD"/>
    <w:rsid w:val="00A75D2A"/>
    <w:rsid w:val="00A9078F"/>
    <w:rsid w:val="00A954C0"/>
    <w:rsid w:val="00A97C2A"/>
    <w:rsid w:val="00AA02F1"/>
    <w:rsid w:val="00AA1612"/>
    <w:rsid w:val="00AA1F3C"/>
    <w:rsid w:val="00AA3338"/>
    <w:rsid w:val="00AA6B8C"/>
    <w:rsid w:val="00AB1F7A"/>
    <w:rsid w:val="00AB4D50"/>
    <w:rsid w:val="00AD29F7"/>
    <w:rsid w:val="00AD56E2"/>
    <w:rsid w:val="00AD6CD4"/>
    <w:rsid w:val="00AE0AC1"/>
    <w:rsid w:val="00AE1A30"/>
    <w:rsid w:val="00AE1FCC"/>
    <w:rsid w:val="00AE3B3C"/>
    <w:rsid w:val="00AE4696"/>
    <w:rsid w:val="00AE657B"/>
    <w:rsid w:val="00AE743D"/>
    <w:rsid w:val="00AF16C4"/>
    <w:rsid w:val="00AF457A"/>
    <w:rsid w:val="00AF5110"/>
    <w:rsid w:val="00AF520D"/>
    <w:rsid w:val="00AF5395"/>
    <w:rsid w:val="00B037DD"/>
    <w:rsid w:val="00B07974"/>
    <w:rsid w:val="00B123FA"/>
    <w:rsid w:val="00B14788"/>
    <w:rsid w:val="00B14B9B"/>
    <w:rsid w:val="00B156C1"/>
    <w:rsid w:val="00B25267"/>
    <w:rsid w:val="00B2794E"/>
    <w:rsid w:val="00B27A39"/>
    <w:rsid w:val="00B3125D"/>
    <w:rsid w:val="00B40E20"/>
    <w:rsid w:val="00B44FC2"/>
    <w:rsid w:val="00B55147"/>
    <w:rsid w:val="00B56861"/>
    <w:rsid w:val="00B57F6C"/>
    <w:rsid w:val="00B60443"/>
    <w:rsid w:val="00B64B5C"/>
    <w:rsid w:val="00B714C3"/>
    <w:rsid w:val="00B7720C"/>
    <w:rsid w:val="00B80A40"/>
    <w:rsid w:val="00B81EBC"/>
    <w:rsid w:val="00B83304"/>
    <w:rsid w:val="00B84F31"/>
    <w:rsid w:val="00B87A5B"/>
    <w:rsid w:val="00B87FA7"/>
    <w:rsid w:val="00B94190"/>
    <w:rsid w:val="00B95771"/>
    <w:rsid w:val="00B95F57"/>
    <w:rsid w:val="00BA1D53"/>
    <w:rsid w:val="00BA239C"/>
    <w:rsid w:val="00BA2B51"/>
    <w:rsid w:val="00BA525B"/>
    <w:rsid w:val="00BB0105"/>
    <w:rsid w:val="00BB0504"/>
    <w:rsid w:val="00BB1466"/>
    <w:rsid w:val="00BB4323"/>
    <w:rsid w:val="00BB680A"/>
    <w:rsid w:val="00BB6EE6"/>
    <w:rsid w:val="00BB7B79"/>
    <w:rsid w:val="00BC2B15"/>
    <w:rsid w:val="00BC357B"/>
    <w:rsid w:val="00BC42DF"/>
    <w:rsid w:val="00BC5A68"/>
    <w:rsid w:val="00BD157D"/>
    <w:rsid w:val="00BD637D"/>
    <w:rsid w:val="00BE3CA6"/>
    <w:rsid w:val="00BE7399"/>
    <w:rsid w:val="00BF250E"/>
    <w:rsid w:val="00BF717A"/>
    <w:rsid w:val="00BF7CB6"/>
    <w:rsid w:val="00C001C0"/>
    <w:rsid w:val="00C020D6"/>
    <w:rsid w:val="00C02634"/>
    <w:rsid w:val="00C051CC"/>
    <w:rsid w:val="00C102FD"/>
    <w:rsid w:val="00C162EC"/>
    <w:rsid w:val="00C22293"/>
    <w:rsid w:val="00C2268B"/>
    <w:rsid w:val="00C26F3F"/>
    <w:rsid w:val="00C325CE"/>
    <w:rsid w:val="00C33345"/>
    <w:rsid w:val="00C36DFA"/>
    <w:rsid w:val="00C37E04"/>
    <w:rsid w:val="00C4517A"/>
    <w:rsid w:val="00C46B91"/>
    <w:rsid w:val="00C51140"/>
    <w:rsid w:val="00C516E0"/>
    <w:rsid w:val="00C63C65"/>
    <w:rsid w:val="00C649CA"/>
    <w:rsid w:val="00C66C22"/>
    <w:rsid w:val="00C6714C"/>
    <w:rsid w:val="00C70DBF"/>
    <w:rsid w:val="00C7172A"/>
    <w:rsid w:val="00C73D34"/>
    <w:rsid w:val="00C803F3"/>
    <w:rsid w:val="00C83F9F"/>
    <w:rsid w:val="00C93956"/>
    <w:rsid w:val="00C941C3"/>
    <w:rsid w:val="00C96F28"/>
    <w:rsid w:val="00C97248"/>
    <w:rsid w:val="00CA09C7"/>
    <w:rsid w:val="00CB25C8"/>
    <w:rsid w:val="00CB5B47"/>
    <w:rsid w:val="00CC292C"/>
    <w:rsid w:val="00CC3FBA"/>
    <w:rsid w:val="00CC795C"/>
    <w:rsid w:val="00CD21A5"/>
    <w:rsid w:val="00CD2FDE"/>
    <w:rsid w:val="00CE053F"/>
    <w:rsid w:val="00CE15BD"/>
    <w:rsid w:val="00CE3C5C"/>
    <w:rsid w:val="00CE521B"/>
    <w:rsid w:val="00CE752F"/>
    <w:rsid w:val="00CE768F"/>
    <w:rsid w:val="00CF4B24"/>
    <w:rsid w:val="00D01497"/>
    <w:rsid w:val="00D0490A"/>
    <w:rsid w:val="00D04C60"/>
    <w:rsid w:val="00D050D2"/>
    <w:rsid w:val="00D06407"/>
    <w:rsid w:val="00D14B24"/>
    <w:rsid w:val="00D1530D"/>
    <w:rsid w:val="00D224C5"/>
    <w:rsid w:val="00D2254B"/>
    <w:rsid w:val="00D23C64"/>
    <w:rsid w:val="00D2667F"/>
    <w:rsid w:val="00D27EBA"/>
    <w:rsid w:val="00D3516D"/>
    <w:rsid w:val="00D37A4C"/>
    <w:rsid w:val="00D419E5"/>
    <w:rsid w:val="00D41FE1"/>
    <w:rsid w:val="00D4242C"/>
    <w:rsid w:val="00D43E33"/>
    <w:rsid w:val="00D45B4D"/>
    <w:rsid w:val="00D520FB"/>
    <w:rsid w:val="00D52581"/>
    <w:rsid w:val="00D55A78"/>
    <w:rsid w:val="00D5618F"/>
    <w:rsid w:val="00D5793C"/>
    <w:rsid w:val="00D64DD3"/>
    <w:rsid w:val="00D650FD"/>
    <w:rsid w:val="00D65526"/>
    <w:rsid w:val="00D843DF"/>
    <w:rsid w:val="00D84E7F"/>
    <w:rsid w:val="00D858C7"/>
    <w:rsid w:val="00D911F9"/>
    <w:rsid w:val="00D956FD"/>
    <w:rsid w:val="00DA07DE"/>
    <w:rsid w:val="00DA1101"/>
    <w:rsid w:val="00DA4605"/>
    <w:rsid w:val="00DA5EE4"/>
    <w:rsid w:val="00DA6F3B"/>
    <w:rsid w:val="00DA7394"/>
    <w:rsid w:val="00DB287F"/>
    <w:rsid w:val="00DB51D6"/>
    <w:rsid w:val="00DB5382"/>
    <w:rsid w:val="00DC3760"/>
    <w:rsid w:val="00DC611F"/>
    <w:rsid w:val="00DC72D6"/>
    <w:rsid w:val="00DD01A3"/>
    <w:rsid w:val="00DD5407"/>
    <w:rsid w:val="00DD7270"/>
    <w:rsid w:val="00DD77AF"/>
    <w:rsid w:val="00DF5FAA"/>
    <w:rsid w:val="00DF7CC5"/>
    <w:rsid w:val="00E00D4D"/>
    <w:rsid w:val="00E03523"/>
    <w:rsid w:val="00E040CB"/>
    <w:rsid w:val="00E04D51"/>
    <w:rsid w:val="00E06CFB"/>
    <w:rsid w:val="00E10132"/>
    <w:rsid w:val="00E12DBD"/>
    <w:rsid w:val="00E131AA"/>
    <w:rsid w:val="00E13FAD"/>
    <w:rsid w:val="00E148DD"/>
    <w:rsid w:val="00E1498A"/>
    <w:rsid w:val="00E21A53"/>
    <w:rsid w:val="00E23B45"/>
    <w:rsid w:val="00E2583E"/>
    <w:rsid w:val="00E2772E"/>
    <w:rsid w:val="00E30213"/>
    <w:rsid w:val="00E319F4"/>
    <w:rsid w:val="00E33E49"/>
    <w:rsid w:val="00E4276D"/>
    <w:rsid w:val="00E43912"/>
    <w:rsid w:val="00E45443"/>
    <w:rsid w:val="00E45BF9"/>
    <w:rsid w:val="00E500DC"/>
    <w:rsid w:val="00E50885"/>
    <w:rsid w:val="00E524D0"/>
    <w:rsid w:val="00E53D2A"/>
    <w:rsid w:val="00E55A5D"/>
    <w:rsid w:val="00E55EB4"/>
    <w:rsid w:val="00E57CC7"/>
    <w:rsid w:val="00E633E2"/>
    <w:rsid w:val="00E64878"/>
    <w:rsid w:val="00E651A5"/>
    <w:rsid w:val="00E73D4A"/>
    <w:rsid w:val="00E77449"/>
    <w:rsid w:val="00E775B0"/>
    <w:rsid w:val="00E8094F"/>
    <w:rsid w:val="00E80A79"/>
    <w:rsid w:val="00E80B4C"/>
    <w:rsid w:val="00E8619E"/>
    <w:rsid w:val="00E90379"/>
    <w:rsid w:val="00E94C69"/>
    <w:rsid w:val="00E97D50"/>
    <w:rsid w:val="00EA159C"/>
    <w:rsid w:val="00EA613B"/>
    <w:rsid w:val="00EB6D33"/>
    <w:rsid w:val="00EC0107"/>
    <w:rsid w:val="00EC2FD0"/>
    <w:rsid w:val="00EC5A4A"/>
    <w:rsid w:val="00ED26C1"/>
    <w:rsid w:val="00ED27A4"/>
    <w:rsid w:val="00EE0427"/>
    <w:rsid w:val="00EE4052"/>
    <w:rsid w:val="00EE4A92"/>
    <w:rsid w:val="00EF2811"/>
    <w:rsid w:val="00EF4937"/>
    <w:rsid w:val="00EF5EFB"/>
    <w:rsid w:val="00F067CA"/>
    <w:rsid w:val="00F072BC"/>
    <w:rsid w:val="00F126BE"/>
    <w:rsid w:val="00F12C97"/>
    <w:rsid w:val="00F138FF"/>
    <w:rsid w:val="00F13E74"/>
    <w:rsid w:val="00F17692"/>
    <w:rsid w:val="00F219E7"/>
    <w:rsid w:val="00F24C88"/>
    <w:rsid w:val="00F26E5D"/>
    <w:rsid w:val="00F44D0A"/>
    <w:rsid w:val="00F47645"/>
    <w:rsid w:val="00F53D06"/>
    <w:rsid w:val="00F55BEE"/>
    <w:rsid w:val="00F634B5"/>
    <w:rsid w:val="00F63E81"/>
    <w:rsid w:val="00F653F0"/>
    <w:rsid w:val="00F67212"/>
    <w:rsid w:val="00F67E05"/>
    <w:rsid w:val="00F73F0F"/>
    <w:rsid w:val="00F742E3"/>
    <w:rsid w:val="00F75FE2"/>
    <w:rsid w:val="00F81B32"/>
    <w:rsid w:val="00F82C68"/>
    <w:rsid w:val="00F86025"/>
    <w:rsid w:val="00F91104"/>
    <w:rsid w:val="00F9486D"/>
    <w:rsid w:val="00F95912"/>
    <w:rsid w:val="00F96123"/>
    <w:rsid w:val="00FA0110"/>
    <w:rsid w:val="00FA062A"/>
    <w:rsid w:val="00FA31AE"/>
    <w:rsid w:val="00FA6A76"/>
    <w:rsid w:val="00FA7A83"/>
    <w:rsid w:val="00FB06DD"/>
    <w:rsid w:val="00FB1B5D"/>
    <w:rsid w:val="00FB2286"/>
    <w:rsid w:val="00FB4CDD"/>
    <w:rsid w:val="00FB5141"/>
    <w:rsid w:val="00FD15A2"/>
    <w:rsid w:val="00FD4D44"/>
    <w:rsid w:val="00FE10B7"/>
    <w:rsid w:val="00FE4724"/>
    <w:rsid w:val="00FE62CD"/>
    <w:rsid w:val="00FE6FF0"/>
    <w:rsid w:val="00FF4B16"/>
    <w:rsid w:val="00FF5407"/>
    <w:rsid w:val="00FF6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1B8F70"/>
  <w15:docId w15:val="{0C2B4002-0420-40DB-88DA-FEDE6DA2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097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B4D50"/>
    <w:pPr>
      <w:spacing w:before="100" w:beforeAutospacing="1" w:after="100" w:afterAutospacing="1" w:line="240" w:lineRule="auto"/>
      <w:ind w:left="0" w:firstLine="0"/>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F7E12"/>
    <w:rPr>
      <w:color w:val="0563C1"/>
      <w:u w:val="single"/>
    </w:rPr>
  </w:style>
  <w:style w:type="paragraph" w:styleId="NormalWeb">
    <w:name w:val="Normal (Web)"/>
    <w:basedOn w:val="Normal"/>
    <w:uiPriority w:val="99"/>
    <w:unhideWhenUsed/>
    <w:rsid w:val="00AE1A30"/>
    <w:pPr>
      <w:spacing w:before="100" w:beforeAutospacing="1" w:after="100" w:afterAutospacing="1" w:line="240" w:lineRule="auto"/>
      <w:ind w:left="0" w:firstLine="0"/>
    </w:pPr>
    <w:rPr>
      <w:rFonts w:ascii="Calibri" w:hAnsi="Calibri" w:cs="Calibri"/>
      <w:lang w:eastAsia="en-GB"/>
    </w:rPr>
  </w:style>
  <w:style w:type="character" w:customStyle="1" w:styleId="normaltextrun1">
    <w:name w:val="normaltextrun1"/>
    <w:basedOn w:val="DefaultParagraphFont"/>
    <w:rsid w:val="00545852"/>
  </w:style>
  <w:style w:type="character" w:customStyle="1" w:styleId="eop">
    <w:name w:val="eop"/>
    <w:basedOn w:val="DefaultParagraphFont"/>
    <w:rsid w:val="00545852"/>
  </w:style>
  <w:style w:type="character" w:customStyle="1" w:styleId="normaltextrun">
    <w:name w:val="normaltextrun"/>
    <w:basedOn w:val="DefaultParagraphFont"/>
    <w:rsid w:val="00545852"/>
  </w:style>
  <w:style w:type="character" w:customStyle="1" w:styleId="Heading2Char">
    <w:name w:val="Heading 2 Char"/>
    <w:basedOn w:val="DefaultParagraphFont"/>
    <w:link w:val="Heading2"/>
    <w:uiPriority w:val="9"/>
    <w:rsid w:val="00AB4D50"/>
    <w:rPr>
      <w:rFonts w:ascii="Calibri" w:eastAsiaTheme="minorHAnsi" w:hAnsi="Calibri" w:cs="Calibri"/>
      <w:b/>
      <w:bCs/>
      <w:sz w:val="36"/>
      <w:szCs w:val="36"/>
      <w:lang w:eastAsia="en-GB"/>
    </w:rPr>
  </w:style>
  <w:style w:type="paragraph" w:customStyle="1" w:styleId="Default">
    <w:name w:val="Default"/>
    <w:uiPriority w:val="99"/>
    <w:rsid w:val="00AA333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0816"/>
    <w:rPr>
      <w:color w:val="954F72" w:themeColor="followedHyperlink"/>
      <w:u w:val="single"/>
    </w:rPr>
  </w:style>
  <w:style w:type="character" w:styleId="UnresolvedMention">
    <w:name w:val="Unresolved Mention"/>
    <w:basedOn w:val="DefaultParagraphFont"/>
    <w:uiPriority w:val="99"/>
    <w:semiHidden/>
    <w:unhideWhenUsed/>
    <w:rsid w:val="007412CF"/>
    <w:rPr>
      <w:color w:val="605E5C"/>
      <w:shd w:val="clear" w:color="auto" w:fill="E1DFDD"/>
    </w:rPr>
  </w:style>
  <w:style w:type="character" w:customStyle="1" w:styleId="Heading1Char">
    <w:name w:val="Heading 1 Char"/>
    <w:basedOn w:val="DefaultParagraphFont"/>
    <w:link w:val="Heading1"/>
    <w:uiPriority w:val="9"/>
    <w:rsid w:val="000970E1"/>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9C4BD2"/>
    <w:rPr>
      <w:sz w:val="16"/>
      <w:szCs w:val="16"/>
    </w:rPr>
  </w:style>
  <w:style w:type="paragraph" w:styleId="CommentText">
    <w:name w:val="annotation text"/>
    <w:basedOn w:val="Normal"/>
    <w:link w:val="CommentTextChar"/>
    <w:semiHidden/>
    <w:unhideWhenUsed/>
    <w:rsid w:val="009C4BD2"/>
    <w:pPr>
      <w:spacing w:after="0" w:line="240" w:lineRule="auto"/>
      <w:ind w:left="0" w:firstLine="0"/>
    </w:pPr>
    <w:rPr>
      <w:rFonts w:ascii="Calibri" w:hAnsi="Calibri" w:cs="Calibri"/>
      <w:sz w:val="20"/>
      <w:szCs w:val="20"/>
      <w:lang w:eastAsia="en-GB"/>
    </w:rPr>
  </w:style>
  <w:style w:type="character" w:customStyle="1" w:styleId="CommentTextChar">
    <w:name w:val="Comment Text Char"/>
    <w:basedOn w:val="DefaultParagraphFont"/>
    <w:link w:val="CommentText"/>
    <w:semiHidden/>
    <w:rsid w:val="009C4BD2"/>
    <w:rPr>
      <w:rFonts w:ascii="Calibri" w:eastAsiaTheme="minorHAnsi" w:hAnsi="Calibri" w:cs="Calibri"/>
      <w:sz w:val="20"/>
      <w:szCs w:val="20"/>
      <w:lang w:eastAsia="en-GB"/>
    </w:rPr>
  </w:style>
  <w:style w:type="paragraph" w:customStyle="1" w:styleId="paragraph">
    <w:name w:val="paragraph"/>
    <w:basedOn w:val="Normal"/>
    <w:uiPriority w:val="99"/>
    <w:rsid w:val="00BA1D53"/>
    <w:pPr>
      <w:spacing w:after="0" w:line="240" w:lineRule="auto"/>
      <w:ind w:left="0" w:firstLine="0"/>
    </w:pPr>
    <w:rPr>
      <w:rFonts w:ascii="Calibri" w:hAnsi="Calibri" w:cs="Calibri"/>
      <w:lang w:eastAsia="en-GB"/>
    </w:rPr>
  </w:style>
  <w:style w:type="character" w:styleId="Strong">
    <w:name w:val="Strong"/>
    <w:basedOn w:val="DefaultParagraphFont"/>
    <w:uiPriority w:val="22"/>
    <w:qFormat/>
    <w:rsid w:val="006D5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760">
      <w:bodyDiv w:val="1"/>
      <w:marLeft w:val="0"/>
      <w:marRight w:val="0"/>
      <w:marTop w:val="0"/>
      <w:marBottom w:val="0"/>
      <w:divBdr>
        <w:top w:val="none" w:sz="0" w:space="0" w:color="auto"/>
        <w:left w:val="none" w:sz="0" w:space="0" w:color="auto"/>
        <w:bottom w:val="none" w:sz="0" w:space="0" w:color="auto"/>
        <w:right w:val="none" w:sz="0" w:space="0" w:color="auto"/>
      </w:divBdr>
    </w:div>
    <w:div w:id="76177615">
      <w:bodyDiv w:val="1"/>
      <w:marLeft w:val="0"/>
      <w:marRight w:val="0"/>
      <w:marTop w:val="0"/>
      <w:marBottom w:val="0"/>
      <w:divBdr>
        <w:top w:val="none" w:sz="0" w:space="0" w:color="auto"/>
        <w:left w:val="none" w:sz="0" w:space="0" w:color="auto"/>
        <w:bottom w:val="none" w:sz="0" w:space="0" w:color="auto"/>
        <w:right w:val="none" w:sz="0" w:space="0" w:color="auto"/>
      </w:divBdr>
    </w:div>
    <w:div w:id="100884525">
      <w:bodyDiv w:val="1"/>
      <w:marLeft w:val="0"/>
      <w:marRight w:val="0"/>
      <w:marTop w:val="0"/>
      <w:marBottom w:val="0"/>
      <w:divBdr>
        <w:top w:val="none" w:sz="0" w:space="0" w:color="auto"/>
        <w:left w:val="none" w:sz="0" w:space="0" w:color="auto"/>
        <w:bottom w:val="none" w:sz="0" w:space="0" w:color="auto"/>
        <w:right w:val="none" w:sz="0" w:space="0" w:color="auto"/>
      </w:divBdr>
    </w:div>
    <w:div w:id="141512052">
      <w:bodyDiv w:val="1"/>
      <w:marLeft w:val="0"/>
      <w:marRight w:val="0"/>
      <w:marTop w:val="0"/>
      <w:marBottom w:val="0"/>
      <w:divBdr>
        <w:top w:val="none" w:sz="0" w:space="0" w:color="auto"/>
        <w:left w:val="none" w:sz="0" w:space="0" w:color="auto"/>
        <w:bottom w:val="none" w:sz="0" w:space="0" w:color="auto"/>
        <w:right w:val="none" w:sz="0" w:space="0" w:color="auto"/>
      </w:divBdr>
    </w:div>
    <w:div w:id="163282211">
      <w:bodyDiv w:val="1"/>
      <w:marLeft w:val="0"/>
      <w:marRight w:val="0"/>
      <w:marTop w:val="0"/>
      <w:marBottom w:val="0"/>
      <w:divBdr>
        <w:top w:val="none" w:sz="0" w:space="0" w:color="auto"/>
        <w:left w:val="none" w:sz="0" w:space="0" w:color="auto"/>
        <w:bottom w:val="none" w:sz="0" w:space="0" w:color="auto"/>
        <w:right w:val="none" w:sz="0" w:space="0" w:color="auto"/>
      </w:divBdr>
    </w:div>
    <w:div w:id="257448384">
      <w:bodyDiv w:val="1"/>
      <w:marLeft w:val="0"/>
      <w:marRight w:val="0"/>
      <w:marTop w:val="0"/>
      <w:marBottom w:val="0"/>
      <w:divBdr>
        <w:top w:val="none" w:sz="0" w:space="0" w:color="auto"/>
        <w:left w:val="none" w:sz="0" w:space="0" w:color="auto"/>
        <w:bottom w:val="none" w:sz="0" w:space="0" w:color="auto"/>
        <w:right w:val="none" w:sz="0" w:space="0" w:color="auto"/>
      </w:divBdr>
    </w:div>
    <w:div w:id="274557274">
      <w:bodyDiv w:val="1"/>
      <w:marLeft w:val="0"/>
      <w:marRight w:val="0"/>
      <w:marTop w:val="0"/>
      <w:marBottom w:val="0"/>
      <w:divBdr>
        <w:top w:val="none" w:sz="0" w:space="0" w:color="auto"/>
        <w:left w:val="none" w:sz="0" w:space="0" w:color="auto"/>
        <w:bottom w:val="none" w:sz="0" w:space="0" w:color="auto"/>
        <w:right w:val="none" w:sz="0" w:space="0" w:color="auto"/>
      </w:divBdr>
    </w:div>
    <w:div w:id="336461996">
      <w:bodyDiv w:val="1"/>
      <w:marLeft w:val="0"/>
      <w:marRight w:val="0"/>
      <w:marTop w:val="0"/>
      <w:marBottom w:val="0"/>
      <w:divBdr>
        <w:top w:val="none" w:sz="0" w:space="0" w:color="auto"/>
        <w:left w:val="none" w:sz="0" w:space="0" w:color="auto"/>
        <w:bottom w:val="none" w:sz="0" w:space="0" w:color="auto"/>
        <w:right w:val="none" w:sz="0" w:space="0" w:color="auto"/>
      </w:divBdr>
    </w:div>
    <w:div w:id="352532466">
      <w:bodyDiv w:val="1"/>
      <w:marLeft w:val="0"/>
      <w:marRight w:val="0"/>
      <w:marTop w:val="0"/>
      <w:marBottom w:val="0"/>
      <w:divBdr>
        <w:top w:val="none" w:sz="0" w:space="0" w:color="auto"/>
        <w:left w:val="none" w:sz="0" w:space="0" w:color="auto"/>
        <w:bottom w:val="none" w:sz="0" w:space="0" w:color="auto"/>
        <w:right w:val="none" w:sz="0" w:space="0" w:color="auto"/>
      </w:divBdr>
    </w:div>
    <w:div w:id="586379666">
      <w:bodyDiv w:val="1"/>
      <w:marLeft w:val="0"/>
      <w:marRight w:val="0"/>
      <w:marTop w:val="0"/>
      <w:marBottom w:val="0"/>
      <w:divBdr>
        <w:top w:val="none" w:sz="0" w:space="0" w:color="auto"/>
        <w:left w:val="none" w:sz="0" w:space="0" w:color="auto"/>
        <w:bottom w:val="none" w:sz="0" w:space="0" w:color="auto"/>
        <w:right w:val="none" w:sz="0" w:space="0" w:color="auto"/>
      </w:divBdr>
    </w:div>
    <w:div w:id="606156808">
      <w:bodyDiv w:val="1"/>
      <w:marLeft w:val="0"/>
      <w:marRight w:val="0"/>
      <w:marTop w:val="0"/>
      <w:marBottom w:val="0"/>
      <w:divBdr>
        <w:top w:val="none" w:sz="0" w:space="0" w:color="auto"/>
        <w:left w:val="none" w:sz="0" w:space="0" w:color="auto"/>
        <w:bottom w:val="none" w:sz="0" w:space="0" w:color="auto"/>
        <w:right w:val="none" w:sz="0" w:space="0" w:color="auto"/>
      </w:divBdr>
    </w:div>
    <w:div w:id="639505227">
      <w:bodyDiv w:val="1"/>
      <w:marLeft w:val="0"/>
      <w:marRight w:val="0"/>
      <w:marTop w:val="0"/>
      <w:marBottom w:val="0"/>
      <w:divBdr>
        <w:top w:val="none" w:sz="0" w:space="0" w:color="auto"/>
        <w:left w:val="none" w:sz="0" w:space="0" w:color="auto"/>
        <w:bottom w:val="none" w:sz="0" w:space="0" w:color="auto"/>
        <w:right w:val="none" w:sz="0" w:space="0" w:color="auto"/>
      </w:divBdr>
    </w:div>
    <w:div w:id="710376468">
      <w:bodyDiv w:val="1"/>
      <w:marLeft w:val="0"/>
      <w:marRight w:val="0"/>
      <w:marTop w:val="0"/>
      <w:marBottom w:val="0"/>
      <w:divBdr>
        <w:top w:val="none" w:sz="0" w:space="0" w:color="auto"/>
        <w:left w:val="none" w:sz="0" w:space="0" w:color="auto"/>
        <w:bottom w:val="none" w:sz="0" w:space="0" w:color="auto"/>
        <w:right w:val="none" w:sz="0" w:space="0" w:color="auto"/>
      </w:divBdr>
    </w:div>
    <w:div w:id="782504461">
      <w:bodyDiv w:val="1"/>
      <w:marLeft w:val="0"/>
      <w:marRight w:val="0"/>
      <w:marTop w:val="0"/>
      <w:marBottom w:val="0"/>
      <w:divBdr>
        <w:top w:val="none" w:sz="0" w:space="0" w:color="auto"/>
        <w:left w:val="none" w:sz="0" w:space="0" w:color="auto"/>
        <w:bottom w:val="none" w:sz="0" w:space="0" w:color="auto"/>
        <w:right w:val="none" w:sz="0" w:space="0" w:color="auto"/>
      </w:divBdr>
    </w:div>
    <w:div w:id="861434164">
      <w:bodyDiv w:val="1"/>
      <w:marLeft w:val="0"/>
      <w:marRight w:val="0"/>
      <w:marTop w:val="0"/>
      <w:marBottom w:val="0"/>
      <w:divBdr>
        <w:top w:val="none" w:sz="0" w:space="0" w:color="auto"/>
        <w:left w:val="none" w:sz="0" w:space="0" w:color="auto"/>
        <w:bottom w:val="none" w:sz="0" w:space="0" w:color="auto"/>
        <w:right w:val="none" w:sz="0" w:space="0" w:color="auto"/>
      </w:divBdr>
    </w:div>
    <w:div w:id="873345202">
      <w:bodyDiv w:val="1"/>
      <w:marLeft w:val="0"/>
      <w:marRight w:val="0"/>
      <w:marTop w:val="0"/>
      <w:marBottom w:val="0"/>
      <w:divBdr>
        <w:top w:val="none" w:sz="0" w:space="0" w:color="auto"/>
        <w:left w:val="none" w:sz="0" w:space="0" w:color="auto"/>
        <w:bottom w:val="none" w:sz="0" w:space="0" w:color="auto"/>
        <w:right w:val="none" w:sz="0" w:space="0" w:color="auto"/>
      </w:divBdr>
    </w:div>
    <w:div w:id="902174965">
      <w:bodyDiv w:val="1"/>
      <w:marLeft w:val="0"/>
      <w:marRight w:val="0"/>
      <w:marTop w:val="0"/>
      <w:marBottom w:val="0"/>
      <w:divBdr>
        <w:top w:val="none" w:sz="0" w:space="0" w:color="auto"/>
        <w:left w:val="none" w:sz="0" w:space="0" w:color="auto"/>
        <w:bottom w:val="none" w:sz="0" w:space="0" w:color="auto"/>
        <w:right w:val="none" w:sz="0" w:space="0" w:color="auto"/>
      </w:divBdr>
    </w:div>
    <w:div w:id="950085872">
      <w:bodyDiv w:val="1"/>
      <w:marLeft w:val="0"/>
      <w:marRight w:val="0"/>
      <w:marTop w:val="0"/>
      <w:marBottom w:val="0"/>
      <w:divBdr>
        <w:top w:val="none" w:sz="0" w:space="0" w:color="auto"/>
        <w:left w:val="none" w:sz="0" w:space="0" w:color="auto"/>
        <w:bottom w:val="none" w:sz="0" w:space="0" w:color="auto"/>
        <w:right w:val="none" w:sz="0" w:space="0" w:color="auto"/>
      </w:divBdr>
    </w:div>
    <w:div w:id="1072435411">
      <w:bodyDiv w:val="1"/>
      <w:marLeft w:val="0"/>
      <w:marRight w:val="0"/>
      <w:marTop w:val="0"/>
      <w:marBottom w:val="0"/>
      <w:divBdr>
        <w:top w:val="none" w:sz="0" w:space="0" w:color="auto"/>
        <w:left w:val="none" w:sz="0" w:space="0" w:color="auto"/>
        <w:bottom w:val="none" w:sz="0" w:space="0" w:color="auto"/>
        <w:right w:val="none" w:sz="0" w:space="0" w:color="auto"/>
      </w:divBdr>
    </w:div>
    <w:div w:id="1101144797">
      <w:bodyDiv w:val="1"/>
      <w:marLeft w:val="0"/>
      <w:marRight w:val="0"/>
      <w:marTop w:val="0"/>
      <w:marBottom w:val="0"/>
      <w:divBdr>
        <w:top w:val="none" w:sz="0" w:space="0" w:color="auto"/>
        <w:left w:val="none" w:sz="0" w:space="0" w:color="auto"/>
        <w:bottom w:val="none" w:sz="0" w:space="0" w:color="auto"/>
        <w:right w:val="none" w:sz="0" w:space="0" w:color="auto"/>
      </w:divBdr>
    </w:div>
    <w:div w:id="1132603241">
      <w:bodyDiv w:val="1"/>
      <w:marLeft w:val="0"/>
      <w:marRight w:val="0"/>
      <w:marTop w:val="0"/>
      <w:marBottom w:val="0"/>
      <w:divBdr>
        <w:top w:val="none" w:sz="0" w:space="0" w:color="auto"/>
        <w:left w:val="none" w:sz="0" w:space="0" w:color="auto"/>
        <w:bottom w:val="none" w:sz="0" w:space="0" w:color="auto"/>
        <w:right w:val="none" w:sz="0" w:space="0" w:color="auto"/>
      </w:divBdr>
    </w:div>
    <w:div w:id="1133331444">
      <w:bodyDiv w:val="1"/>
      <w:marLeft w:val="0"/>
      <w:marRight w:val="0"/>
      <w:marTop w:val="0"/>
      <w:marBottom w:val="0"/>
      <w:divBdr>
        <w:top w:val="none" w:sz="0" w:space="0" w:color="auto"/>
        <w:left w:val="none" w:sz="0" w:space="0" w:color="auto"/>
        <w:bottom w:val="none" w:sz="0" w:space="0" w:color="auto"/>
        <w:right w:val="none" w:sz="0" w:space="0" w:color="auto"/>
      </w:divBdr>
    </w:div>
    <w:div w:id="114204028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7108211">
      <w:bodyDiv w:val="1"/>
      <w:marLeft w:val="0"/>
      <w:marRight w:val="0"/>
      <w:marTop w:val="0"/>
      <w:marBottom w:val="0"/>
      <w:divBdr>
        <w:top w:val="none" w:sz="0" w:space="0" w:color="auto"/>
        <w:left w:val="none" w:sz="0" w:space="0" w:color="auto"/>
        <w:bottom w:val="none" w:sz="0" w:space="0" w:color="auto"/>
        <w:right w:val="none" w:sz="0" w:space="0" w:color="auto"/>
      </w:divBdr>
    </w:div>
    <w:div w:id="1236550721">
      <w:bodyDiv w:val="1"/>
      <w:marLeft w:val="0"/>
      <w:marRight w:val="0"/>
      <w:marTop w:val="0"/>
      <w:marBottom w:val="0"/>
      <w:divBdr>
        <w:top w:val="none" w:sz="0" w:space="0" w:color="auto"/>
        <w:left w:val="none" w:sz="0" w:space="0" w:color="auto"/>
        <w:bottom w:val="none" w:sz="0" w:space="0" w:color="auto"/>
        <w:right w:val="none" w:sz="0" w:space="0" w:color="auto"/>
      </w:divBdr>
    </w:div>
    <w:div w:id="1257981430">
      <w:bodyDiv w:val="1"/>
      <w:marLeft w:val="0"/>
      <w:marRight w:val="0"/>
      <w:marTop w:val="0"/>
      <w:marBottom w:val="0"/>
      <w:divBdr>
        <w:top w:val="none" w:sz="0" w:space="0" w:color="auto"/>
        <w:left w:val="none" w:sz="0" w:space="0" w:color="auto"/>
        <w:bottom w:val="none" w:sz="0" w:space="0" w:color="auto"/>
        <w:right w:val="none" w:sz="0" w:space="0" w:color="auto"/>
      </w:divBdr>
    </w:div>
    <w:div w:id="1373386274">
      <w:bodyDiv w:val="1"/>
      <w:marLeft w:val="0"/>
      <w:marRight w:val="0"/>
      <w:marTop w:val="0"/>
      <w:marBottom w:val="0"/>
      <w:divBdr>
        <w:top w:val="none" w:sz="0" w:space="0" w:color="auto"/>
        <w:left w:val="none" w:sz="0" w:space="0" w:color="auto"/>
        <w:bottom w:val="none" w:sz="0" w:space="0" w:color="auto"/>
        <w:right w:val="none" w:sz="0" w:space="0" w:color="auto"/>
      </w:divBdr>
    </w:div>
    <w:div w:id="1431974347">
      <w:bodyDiv w:val="1"/>
      <w:marLeft w:val="0"/>
      <w:marRight w:val="0"/>
      <w:marTop w:val="0"/>
      <w:marBottom w:val="0"/>
      <w:divBdr>
        <w:top w:val="none" w:sz="0" w:space="0" w:color="auto"/>
        <w:left w:val="none" w:sz="0" w:space="0" w:color="auto"/>
        <w:bottom w:val="none" w:sz="0" w:space="0" w:color="auto"/>
        <w:right w:val="none" w:sz="0" w:space="0" w:color="auto"/>
      </w:divBdr>
    </w:div>
    <w:div w:id="1458062590">
      <w:bodyDiv w:val="1"/>
      <w:marLeft w:val="0"/>
      <w:marRight w:val="0"/>
      <w:marTop w:val="0"/>
      <w:marBottom w:val="0"/>
      <w:divBdr>
        <w:top w:val="none" w:sz="0" w:space="0" w:color="auto"/>
        <w:left w:val="none" w:sz="0" w:space="0" w:color="auto"/>
        <w:bottom w:val="none" w:sz="0" w:space="0" w:color="auto"/>
        <w:right w:val="none" w:sz="0" w:space="0" w:color="auto"/>
      </w:divBdr>
    </w:div>
    <w:div w:id="1518349668">
      <w:bodyDiv w:val="1"/>
      <w:marLeft w:val="0"/>
      <w:marRight w:val="0"/>
      <w:marTop w:val="0"/>
      <w:marBottom w:val="0"/>
      <w:divBdr>
        <w:top w:val="none" w:sz="0" w:space="0" w:color="auto"/>
        <w:left w:val="none" w:sz="0" w:space="0" w:color="auto"/>
        <w:bottom w:val="none" w:sz="0" w:space="0" w:color="auto"/>
        <w:right w:val="none" w:sz="0" w:space="0" w:color="auto"/>
      </w:divBdr>
    </w:div>
    <w:div w:id="1644771685">
      <w:bodyDiv w:val="1"/>
      <w:marLeft w:val="0"/>
      <w:marRight w:val="0"/>
      <w:marTop w:val="0"/>
      <w:marBottom w:val="0"/>
      <w:divBdr>
        <w:top w:val="none" w:sz="0" w:space="0" w:color="auto"/>
        <w:left w:val="none" w:sz="0" w:space="0" w:color="auto"/>
        <w:bottom w:val="none" w:sz="0" w:space="0" w:color="auto"/>
        <w:right w:val="none" w:sz="0" w:space="0" w:color="auto"/>
      </w:divBdr>
    </w:div>
    <w:div w:id="1685865009">
      <w:bodyDiv w:val="1"/>
      <w:marLeft w:val="0"/>
      <w:marRight w:val="0"/>
      <w:marTop w:val="0"/>
      <w:marBottom w:val="0"/>
      <w:divBdr>
        <w:top w:val="none" w:sz="0" w:space="0" w:color="auto"/>
        <w:left w:val="none" w:sz="0" w:space="0" w:color="auto"/>
        <w:bottom w:val="none" w:sz="0" w:space="0" w:color="auto"/>
        <w:right w:val="none" w:sz="0" w:space="0" w:color="auto"/>
      </w:divBdr>
    </w:div>
    <w:div w:id="1886717382">
      <w:bodyDiv w:val="1"/>
      <w:marLeft w:val="0"/>
      <w:marRight w:val="0"/>
      <w:marTop w:val="0"/>
      <w:marBottom w:val="0"/>
      <w:divBdr>
        <w:top w:val="none" w:sz="0" w:space="0" w:color="auto"/>
        <w:left w:val="none" w:sz="0" w:space="0" w:color="auto"/>
        <w:bottom w:val="none" w:sz="0" w:space="0" w:color="auto"/>
        <w:right w:val="none" w:sz="0" w:space="0" w:color="auto"/>
      </w:divBdr>
    </w:div>
    <w:div w:id="2002192529">
      <w:bodyDiv w:val="1"/>
      <w:marLeft w:val="0"/>
      <w:marRight w:val="0"/>
      <w:marTop w:val="0"/>
      <w:marBottom w:val="0"/>
      <w:divBdr>
        <w:top w:val="none" w:sz="0" w:space="0" w:color="auto"/>
        <w:left w:val="none" w:sz="0" w:space="0" w:color="auto"/>
        <w:bottom w:val="none" w:sz="0" w:space="0" w:color="auto"/>
        <w:right w:val="none" w:sz="0" w:space="0" w:color="auto"/>
      </w:divBdr>
    </w:div>
    <w:div w:id="2053924617">
      <w:bodyDiv w:val="1"/>
      <w:marLeft w:val="0"/>
      <w:marRight w:val="0"/>
      <w:marTop w:val="0"/>
      <w:marBottom w:val="0"/>
      <w:divBdr>
        <w:top w:val="none" w:sz="0" w:space="0" w:color="auto"/>
        <w:left w:val="none" w:sz="0" w:space="0" w:color="auto"/>
        <w:bottom w:val="none" w:sz="0" w:space="0" w:color="auto"/>
        <w:right w:val="none" w:sz="0" w:space="0" w:color="auto"/>
      </w:divBdr>
    </w:div>
    <w:div w:id="21471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926509/Domestic_abuse_consultation_paper.pdf" TargetMode="External"/><Relationship Id="rId18" Type="http://schemas.openxmlformats.org/officeDocument/2006/relationships/hyperlink" Target="https://protect-eu.mimecast.com/s/DrEoCMjBWI5BZ6JCkEp2qi" TargetMode="External"/><Relationship Id="rId26" Type="http://schemas.openxmlformats.org/officeDocument/2006/relationships/hyperlink" Target="https://protect-eu.mimecast.com/s/1_E_CX6VpInZOjkhD9j1j0" TargetMode="External"/><Relationship Id="rId3" Type="http://schemas.openxmlformats.org/officeDocument/2006/relationships/customXml" Target="../customXml/item3.xml"/><Relationship Id="rId21" Type="http://schemas.openxmlformats.org/officeDocument/2006/relationships/hyperlink" Target="https://protect-eu.mimecast.com/s/T-KJCP1JWI4n39JH1zEb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domestic-abuse-capacity-building-fund-for-local-authorities" TargetMode="External"/><Relationship Id="rId17" Type="http://schemas.openxmlformats.org/officeDocument/2006/relationships/hyperlink" Target="https://www.local.gov.uk/topics/licences-regulations-and-trading-standards/national-register-taxi-and-private-hire-licence" TargetMode="External"/><Relationship Id="rId25" Type="http://schemas.openxmlformats.org/officeDocument/2006/relationships/hyperlink" Target="https://protect-eu.mimecast.com/s/SySACWnBoFj8DZNHKmwPKd"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urvey.alchemer.com/s3/5955106/CIEH-LA-workforce-survey" TargetMode="External"/><Relationship Id="rId20" Type="http://schemas.openxmlformats.org/officeDocument/2006/relationships/hyperlink" Target="https://www.local.gov.uk/our-support/efficiency-and-income-generation/digital/cyber-security" TargetMode="External"/><Relationship Id="rId29" Type="http://schemas.openxmlformats.org/officeDocument/2006/relationships/hyperlink" Target="https://www.actso.org.uk/downloads/impacts-and-outcomes-infographic-2019-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10.46%20Taking%20a%20public%20health%20approach%20-%20Violent%20crime_03_0.pdf" TargetMode="External"/><Relationship Id="rId24" Type="http://schemas.openxmlformats.org/officeDocument/2006/relationships/hyperlink" Target="https://protect-eu.mimecast.com/s/gUHZCVmZnCl8gmzSyJp7hD"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awcom.gov.uk/project/hate-crime/" TargetMode="External"/><Relationship Id="rId23" Type="http://schemas.openxmlformats.org/officeDocument/2006/relationships/hyperlink" Target="https://protect-eu.mimecast.com/s/Fvy4CRgBjcrX5oyUPPV7YC" TargetMode="External"/><Relationship Id="rId28" Type="http://schemas.openxmlformats.org/officeDocument/2006/relationships/hyperlink" Target="https://www.actso.org.uk/downloads/impacts-and-outcomes-report-2019-20.pdf" TargetMode="External"/><Relationship Id="rId10" Type="http://schemas.openxmlformats.org/officeDocument/2006/relationships/hyperlink" Target="https://protect-eu.mimecast.com/s/kL__CJZXWs8WL1pfGV9Wg" TargetMode="External"/><Relationship Id="rId19" Type="http://schemas.openxmlformats.org/officeDocument/2006/relationships/hyperlink" Target="https://assets.publishing.service.gov.uk/government/uploads/system/uploads/attachment_data/file/927111/FINAL-_2020_Modern_Slavery_Report_14-10-20.pdf"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tackling-anti-social-behaviour-29-september-2020" TargetMode="External"/><Relationship Id="rId22" Type="http://schemas.openxmlformats.org/officeDocument/2006/relationships/hyperlink" Target="https://protect-eu.mimecast.com/s/05s4CQ1LgI6LogJfMPLAsZ" TargetMode="External"/><Relationship Id="rId27" Type="http://schemas.openxmlformats.org/officeDocument/2006/relationships/hyperlink" Target="mailto:cybersecurity@local.gov.uk"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norris\Downloads\Member%20meeting%20repo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39A65BA9743548B8E82869583EEF8"/>
        <w:category>
          <w:name w:val="General"/>
          <w:gallery w:val="placeholder"/>
        </w:category>
        <w:types>
          <w:type w:val="bbPlcHdr"/>
        </w:types>
        <w:behaviors>
          <w:behavior w:val="content"/>
        </w:behaviors>
        <w:guid w:val="{1A981CBE-E5E6-41A4-A12B-533215B3D6AC}"/>
      </w:docPartPr>
      <w:docPartBody>
        <w:p w:rsidR="00B43AB2" w:rsidRDefault="00B60EFB">
          <w:pPr>
            <w:pStyle w:val="35139A65BA9743548B8E82869583EEF8"/>
          </w:pPr>
          <w:r w:rsidRPr="00FB1144">
            <w:rPr>
              <w:rStyle w:val="PlaceholderText"/>
            </w:rPr>
            <w:t>Click here to enter text.</w:t>
          </w:r>
        </w:p>
      </w:docPartBody>
    </w:docPart>
    <w:docPart>
      <w:docPartPr>
        <w:name w:val="D421CB5F5529477DB701E8F68F2F101E"/>
        <w:category>
          <w:name w:val="General"/>
          <w:gallery w:val="placeholder"/>
        </w:category>
        <w:types>
          <w:type w:val="bbPlcHdr"/>
        </w:types>
        <w:behaviors>
          <w:behavior w:val="content"/>
        </w:behaviors>
        <w:guid w:val="{D2839584-72E2-42E9-B828-94CFC3736437}"/>
      </w:docPartPr>
      <w:docPartBody>
        <w:p w:rsidR="00B43AB2" w:rsidRDefault="00B60EFB">
          <w:pPr>
            <w:pStyle w:val="D421CB5F5529477DB701E8F68F2F101E"/>
          </w:pPr>
          <w:r w:rsidRPr="00FB1144">
            <w:rPr>
              <w:rStyle w:val="PlaceholderText"/>
            </w:rPr>
            <w:t>Click here to enter text.</w:t>
          </w:r>
        </w:p>
      </w:docPartBody>
    </w:docPart>
    <w:docPart>
      <w:docPartPr>
        <w:name w:val="D095804EC2D24CD48495388B6292DC35"/>
        <w:category>
          <w:name w:val="General"/>
          <w:gallery w:val="placeholder"/>
        </w:category>
        <w:types>
          <w:type w:val="bbPlcHdr"/>
        </w:types>
        <w:behaviors>
          <w:behavior w:val="content"/>
        </w:behaviors>
        <w:guid w:val="{B35073DD-996A-414F-80C6-CAA5A7664DA6}"/>
      </w:docPartPr>
      <w:docPartBody>
        <w:p w:rsidR="00B43AB2" w:rsidRDefault="00B60EFB">
          <w:pPr>
            <w:pStyle w:val="D095804EC2D24CD48495388B6292DC35"/>
          </w:pPr>
          <w:r w:rsidRPr="00002B3A">
            <w:rPr>
              <w:rStyle w:val="PlaceholderText"/>
            </w:rPr>
            <w:t>Choose an item.</w:t>
          </w:r>
        </w:p>
      </w:docPartBody>
    </w:docPart>
    <w:docPart>
      <w:docPartPr>
        <w:name w:val="C77EC07E024A4291AA12CE5B8394494A"/>
        <w:category>
          <w:name w:val="General"/>
          <w:gallery w:val="placeholder"/>
        </w:category>
        <w:types>
          <w:type w:val="bbPlcHdr"/>
        </w:types>
        <w:behaviors>
          <w:behavior w:val="content"/>
        </w:behaviors>
        <w:guid w:val="{3DC005C6-B4AB-4465-940B-4ECA60448352}"/>
      </w:docPartPr>
      <w:docPartBody>
        <w:p w:rsidR="00B43AB2" w:rsidRDefault="00B60EFB">
          <w:pPr>
            <w:pStyle w:val="C77EC07E024A4291AA12CE5B8394494A"/>
          </w:pPr>
          <w:r w:rsidRPr="00FB1144">
            <w:rPr>
              <w:rStyle w:val="PlaceholderText"/>
            </w:rPr>
            <w:t>Click here to enter text.</w:t>
          </w:r>
        </w:p>
      </w:docPartBody>
    </w:docPart>
    <w:docPart>
      <w:docPartPr>
        <w:name w:val="252C40393D26469AA476759828964E47"/>
        <w:category>
          <w:name w:val="General"/>
          <w:gallery w:val="placeholder"/>
        </w:category>
        <w:types>
          <w:type w:val="bbPlcHdr"/>
        </w:types>
        <w:behaviors>
          <w:behavior w:val="content"/>
        </w:behaviors>
        <w:guid w:val="{ACA7A125-CB43-4579-9097-2C8AE4BD36CA}"/>
      </w:docPartPr>
      <w:docPartBody>
        <w:p w:rsidR="00B43AB2" w:rsidRDefault="00B60EFB">
          <w:pPr>
            <w:pStyle w:val="252C40393D26469AA476759828964E47"/>
          </w:pPr>
          <w:r w:rsidRPr="00FB1144">
            <w:rPr>
              <w:rStyle w:val="PlaceholderText"/>
            </w:rPr>
            <w:t>Click here to enter text.</w:t>
          </w:r>
        </w:p>
      </w:docPartBody>
    </w:docPart>
    <w:docPart>
      <w:docPartPr>
        <w:name w:val="167279BFD64F4DE0B1D4F458693A0B15"/>
        <w:category>
          <w:name w:val="General"/>
          <w:gallery w:val="placeholder"/>
        </w:category>
        <w:types>
          <w:type w:val="bbPlcHdr"/>
        </w:types>
        <w:behaviors>
          <w:behavior w:val="content"/>
        </w:behaviors>
        <w:guid w:val="{C6524AA4-71E5-4986-9AD3-1475923B551C}"/>
      </w:docPartPr>
      <w:docPartBody>
        <w:p w:rsidR="00B43AB2" w:rsidRDefault="00B60EFB">
          <w:pPr>
            <w:pStyle w:val="167279BFD64F4DE0B1D4F458693A0B15"/>
          </w:pPr>
          <w:r w:rsidRPr="00FB1144">
            <w:rPr>
              <w:rStyle w:val="PlaceholderText"/>
            </w:rPr>
            <w:t>Click here to enter text.</w:t>
          </w:r>
        </w:p>
      </w:docPartBody>
    </w:docPart>
    <w:docPart>
      <w:docPartPr>
        <w:name w:val="4FC846F708414BA9896BBB90346AEC2D"/>
        <w:category>
          <w:name w:val="General"/>
          <w:gallery w:val="placeholder"/>
        </w:category>
        <w:types>
          <w:type w:val="bbPlcHdr"/>
        </w:types>
        <w:behaviors>
          <w:behavior w:val="content"/>
        </w:behaviors>
        <w:guid w:val="{653C8451-313F-4377-A05C-76599987D5DB}"/>
      </w:docPartPr>
      <w:docPartBody>
        <w:p w:rsidR="00B43AB2" w:rsidRDefault="00B60EFB">
          <w:pPr>
            <w:pStyle w:val="4FC846F708414BA9896BBB90346AEC2D"/>
          </w:pPr>
          <w:r w:rsidRPr="00FB1144">
            <w:rPr>
              <w:rStyle w:val="PlaceholderText"/>
            </w:rPr>
            <w:t>Click here to enter text.</w:t>
          </w:r>
        </w:p>
      </w:docPartBody>
    </w:docPart>
    <w:docPart>
      <w:docPartPr>
        <w:name w:val="2A0882CD63294286B2D351DEEE162E85"/>
        <w:category>
          <w:name w:val="General"/>
          <w:gallery w:val="placeholder"/>
        </w:category>
        <w:types>
          <w:type w:val="bbPlcHdr"/>
        </w:types>
        <w:behaviors>
          <w:behavior w:val="content"/>
        </w:behaviors>
        <w:guid w:val="{61C53645-00A4-4DB8-BF1E-7B50875AC162}"/>
      </w:docPartPr>
      <w:docPartBody>
        <w:p w:rsidR="00B43AB2" w:rsidRDefault="00B60EFB">
          <w:pPr>
            <w:pStyle w:val="2A0882CD63294286B2D351DEEE162E85"/>
          </w:pPr>
          <w:r w:rsidRPr="00FB1144">
            <w:rPr>
              <w:rStyle w:val="PlaceholderText"/>
            </w:rPr>
            <w:t>Click here to enter text.</w:t>
          </w:r>
        </w:p>
      </w:docPartBody>
    </w:docPart>
    <w:docPart>
      <w:docPartPr>
        <w:name w:val="F3BDE3025F0146D4A4834B98359123CF"/>
        <w:category>
          <w:name w:val="General"/>
          <w:gallery w:val="placeholder"/>
        </w:category>
        <w:types>
          <w:type w:val="bbPlcHdr"/>
        </w:types>
        <w:behaviors>
          <w:behavior w:val="content"/>
        </w:behaviors>
        <w:guid w:val="{20AEB28E-D078-4416-9EA8-FD6C1D2AD8D7}"/>
      </w:docPartPr>
      <w:docPartBody>
        <w:p w:rsidR="00B43AB2" w:rsidRDefault="00B60EFB">
          <w:pPr>
            <w:pStyle w:val="F3BDE3025F0146D4A4834B98359123CF"/>
          </w:pPr>
          <w:r w:rsidRPr="00FB1144">
            <w:rPr>
              <w:rStyle w:val="PlaceholderText"/>
            </w:rPr>
            <w:t>Click here to enter text.</w:t>
          </w:r>
        </w:p>
      </w:docPartBody>
    </w:docPart>
    <w:docPart>
      <w:docPartPr>
        <w:name w:val="006AF37C29A94264A56244E25E3D46DD"/>
        <w:category>
          <w:name w:val="General"/>
          <w:gallery w:val="placeholder"/>
        </w:category>
        <w:types>
          <w:type w:val="bbPlcHdr"/>
        </w:types>
        <w:behaviors>
          <w:behavior w:val="content"/>
        </w:behaviors>
        <w:guid w:val="{DDA44773-BB97-4E4C-A509-4C2BF41BFBBD}"/>
      </w:docPartPr>
      <w:docPartBody>
        <w:p w:rsidR="00B43AB2" w:rsidRDefault="00B60EFB">
          <w:pPr>
            <w:pStyle w:val="006AF37C29A94264A56244E25E3D46DD"/>
          </w:pPr>
          <w:r w:rsidRPr="00FB1144">
            <w:rPr>
              <w:rStyle w:val="PlaceholderText"/>
            </w:rPr>
            <w:t>Click here to enter text.</w:t>
          </w:r>
        </w:p>
      </w:docPartBody>
    </w:docPart>
    <w:docPart>
      <w:docPartPr>
        <w:name w:val="FEE7F05F7F5145D992AA075BA9DE5712"/>
        <w:category>
          <w:name w:val="General"/>
          <w:gallery w:val="placeholder"/>
        </w:category>
        <w:types>
          <w:type w:val="bbPlcHdr"/>
        </w:types>
        <w:behaviors>
          <w:behavior w:val="content"/>
        </w:behaviors>
        <w:guid w:val="{7198372B-FDF8-4F58-8B72-BEC46EF4054D}"/>
      </w:docPartPr>
      <w:docPartBody>
        <w:p w:rsidR="00B43AB2" w:rsidRDefault="00B60EFB">
          <w:pPr>
            <w:pStyle w:val="FEE7F05F7F5145D992AA075BA9DE5712"/>
          </w:pPr>
          <w:r w:rsidRPr="00FB1144">
            <w:rPr>
              <w:rStyle w:val="PlaceholderText"/>
            </w:rPr>
            <w:t>Click here to enter text.</w:t>
          </w:r>
        </w:p>
      </w:docPartBody>
    </w:docPart>
    <w:docPart>
      <w:docPartPr>
        <w:name w:val="4DBA752F70D547FCB0885AAAF06EC030"/>
        <w:category>
          <w:name w:val="General"/>
          <w:gallery w:val="placeholder"/>
        </w:category>
        <w:types>
          <w:type w:val="bbPlcHdr"/>
        </w:types>
        <w:behaviors>
          <w:behavior w:val="content"/>
        </w:behaviors>
        <w:guid w:val="{9AD9FACE-7558-4060-849E-1E6E4B5BC6DE}"/>
      </w:docPartPr>
      <w:docPartBody>
        <w:p w:rsidR="00B43AB2" w:rsidRDefault="00B60EFB">
          <w:pPr>
            <w:pStyle w:val="4DBA752F70D547FCB0885AAAF06EC030"/>
          </w:pPr>
          <w:r w:rsidRPr="00FB1144">
            <w:rPr>
              <w:rStyle w:val="PlaceholderText"/>
            </w:rPr>
            <w:t>Click here to enter text.</w:t>
          </w:r>
        </w:p>
      </w:docPartBody>
    </w:docPart>
    <w:docPart>
      <w:docPartPr>
        <w:name w:val="FDDD3B486A9843819ECA5FA9DAA0F4A0"/>
        <w:category>
          <w:name w:val="General"/>
          <w:gallery w:val="placeholder"/>
        </w:category>
        <w:types>
          <w:type w:val="bbPlcHdr"/>
        </w:types>
        <w:behaviors>
          <w:behavior w:val="content"/>
        </w:behaviors>
        <w:guid w:val="{FD03B9C6-BA07-49C2-A103-9C8CB460841A}"/>
      </w:docPartPr>
      <w:docPartBody>
        <w:p w:rsidR="00B43AB2" w:rsidRDefault="00B60EFB">
          <w:pPr>
            <w:pStyle w:val="FDDD3B486A9843819ECA5FA9DAA0F4A0"/>
          </w:pPr>
          <w:r w:rsidRPr="00FB1144">
            <w:rPr>
              <w:rStyle w:val="PlaceholderText"/>
            </w:rPr>
            <w:t>Click here to enter text.</w:t>
          </w:r>
        </w:p>
      </w:docPartBody>
    </w:docPart>
    <w:docPart>
      <w:docPartPr>
        <w:name w:val="0066C8BB8BBB4680A9ADF85ACD47A6B5"/>
        <w:category>
          <w:name w:val="General"/>
          <w:gallery w:val="placeholder"/>
        </w:category>
        <w:types>
          <w:type w:val="bbPlcHdr"/>
        </w:types>
        <w:behaviors>
          <w:behavior w:val="content"/>
        </w:behaviors>
        <w:guid w:val="{953BD577-FA50-4BB1-9414-E2A35949F3B7}"/>
      </w:docPartPr>
      <w:docPartBody>
        <w:p w:rsidR="00B43AB2" w:rsidRDefault="00B60EFB">
          <w:pPr>
            <w:pStyle w:val="0066C8BB8BBB4680A9ADF85ACD47A6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FB"/>
    <w:rsid w:val="001B22E6"/>
    <w:rsid w:val="00311030"/>
    <w:rsid w:val="00630B03"/>
    <w:rsid w:val="00662285"/>
    <w:rsid w:val="00666855"/>
    <w:rsid w:val="008644C0"/>
    <w:rsid w:val="00905F6A"/>
    <w:rsid w:val="00A04B80"/>
    <w:rsid w:val="00B43AB2"/>
    <w:rsid w:val="00B60EFB"/>
    <w:rsid w:val="00BF70E7"/>
    <w:rsid w:val="00C426E0"/>
    <w:rsid w:val="00CB3737"/>
    <w:rsid w:val="00CC37AC"/>
    <w:rsid w:val="00CD46AC"/>
    <w:rsid w:val="00D8379D"/>
    <w:rsid w:val="00D85B38"/>
    <w:rsid w:val="00EC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79D"/>
    <w:rPr>
      <w:color w:val="808080"/>
    </w:rPr>
  </w:style>
  <w:style w:type="paragraph" w:customStyle="1" w:styleId="35139A65BA9743548B8E82869583EEF8">
    <w:name w:val="35139A65BA9743548B8E82869583EEF8"/>
  </w:style>
  <w:style w:type="paragraph" w:customStyle="1" w:styleId="D421CB5F5529477DB701E8F68F2F101E">
    <w:name w:val="D421CB5F5529477DB701E8F68F2F101E"/>
  </w:style>
  <w:style w:type="paragraph" w:customStyle="1" w:styleId="D095804EC2D24CD48495388B6292DC35">
    <w:name w:val="D095804EC2D24CD48495388B6292DC35"/>
  </w:style>
  <w:style w:type="paragraph" w:customStyle="1" w:styleId="C77EC07E024A4291AA12CE5B8394494A">
    <w:name w:val="C77EC07E024A4291AA12CE5B8394494A"/>
  </w:style>
  <w:style w:type="paragraph" w:customStyle="1" w:styleId="252C40393D26469AA476759828964E47">
    <w:name w:val="252C40393D26469AA476759828964E47"/>
  </w:style>
  <w:style w:type="paragraph" w:customStyle="1" w:styleId="167279BFD64F4DE0B1D4F458693A0B15">
    <w:name w:val="167279BFD64F4DE0B1D4F458693A0B15"/>
  </w:style>
  <w:style w:type="paragraph" w:customStyle="1" w:styleId="4FC846F708414BA9896BBB90346AEC2D">
    <w:name w:val="4FC846F708414BA9896BBB90346AEC2D"/>
  </w:style>
  <w:style w:type="paragraph" w:customStyle="1" w:styleId="2A0882CD63294286B2D351DEEE162E85">
    <w:name w:val="2A0882CD63294286B2D351DEEE162E85"/>
  </w:style>
  <w:style w:type="paragraph" w:customStyle="1" w:styleId="F3BDE3025F0146D4A4834B98359123CF">
    <w:name w:val="F3BDE3025F0146D4A4834B98359123CF"/>
  </w:style>
  <w:style w:type="paragraph" w:customStyle="1" w:styleId="006AF37C29A94264A56244E25E3D46DD">
    <w:name w:val="006AF37C29A94264A56244E25E3D46DD"/>
  </w:style>
  <w:style w:type="paragraph" w:customStyle="1" w:styleId="FEE7F05F7F5145D992AA075BA9DE5712">
    <w:name w:val="FEE7F05F7F5145D992AA075BA9DE5712"/>
  </w:style>
  <w:style w:type="paragraph" w:customStyle="1" w:styleId="4DBA752F70D547FCB0885AAAF06EC030">
    <w:name w:val="4DBA752F70D547FCB0885AAAF06EC030"/>
  </w:style>
  <w:style w:type="paragraph" w:customStyle="1" w:styleId="B5AEFCDC6B8548F8A8773B91D9190466">
    <w:name w:val="B5AEFCDC6B8548F8A8773B91D9190466"/>
  </w:style>
  <w:style w:type="paragraph" w:customStyle="1" w:styleId="0D413CEE3B414C44B00E6C7CCFA10A27">
    <w:name w:val="0D413CEE3B414C44B00E6C7CCFA10A27"/>
  </w:style>
  <w:style w:type="paragraph" w:customStyle="1" w:styleId="0889D3EEC13B4CDFB08F6E67D8673B5E">
    <w:name w:val="0889D3EEC13B4CDFB08F6E67D8673B5E"/>
  </w:style>
  <w:style w:type="paragraph" w:customStyle="1" w:styleId="A343C471A0F44E85A69BF51CE63C11A1">
    <w:name w:val="A343C471A0F44E85A69BF51CE63C11A1"/>
  </w:style>
  <w:style w:type="paragraph" w:customStyle="1" w:styleId="176165C2232A4E219385DC43592BA848">
    <w:name w:val="176165C2232A4E219385DC43592BA848"/>
  </w:style>
  <w:style w:type="paragraph" w:customStyle="1" w:styleId="FDDD3B486A9843819ECA5FA9DAA0F4A0">
    <w:name w:val="FDDD3B486A9843819ECA5FA9DAA0F4A0"/>
  </w:style>
  <w:style w:type="paragraph" w:customStyle="1" w:styleId="0066C8BB8BBB4680A9ADF85ACD47A6B5">
    <w:name w:val="0066C8BB8BBB4680A9ADF85ACD47A6B5"/>
  </w:style>
  <w:style w:type="paragraph" w:customStyle="1" w:styleId="739C7E86B59840EEA6B29B823C5F91D5">
    <w:name w:val="739C7E86B59840EEA6B29B823C5F91D5"/>
    <w:rsid w:val="00B60EFB"/>
  </w:style>
  <w:style w:type="paragraph" w:customStyle="1" w:styleId="E90C88C6DE634FE0AE9A4C84FA884BEA">
    <w:name w:val="E90C88C6DE634FE0AE9A4C84FA884BEA"/>
    <w:rsid w:val="00D8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Rachel Phelps</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Rachel Phelps</DisplayName>
        <AccountId>20</AccountId>
        <AccountType/>
      </UserInfo>
    </SharedWithUsers>
  </documentManagement>
</p:properties>
</file>

<file path=customXml/itemProps1.xml><?xml version="1.0" encoding="utf-8"?>
<ds:datastoreItem xmlns:ds="http://schemas.openxmlformats.org/officeDocument/2006/customXml" ds:itemID="{D41ADF88-F604-473E-8DE3-5D3401CFFBD4}">
  <ds:schemaRefs>
    <ds:schemaRef ds:uri="http://schemas.microsoft.com/sharepoint/v3/contenttype/forms"/>
  </ds:schemaRefs>
</ds:datastoreItem>
</file>

<file path=customXml/itemProps2.xml><?xml version="1.0" encoding="utf-8"?>
<ds:datastoreItem xmlns:ds="http://schemas.openxmlformats.org/officeDocument/2006/customXml" ds:itemID="{1FED65E1-1D83-4B8E-B2D1-E9364649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260551db-00be-4bbc-8c7a-03e783dddd1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8cab0a62-bbfb-41b4-8b29-d4257ef3f6fe"/>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41ADF88-F604-473E-8DE3-5D3401CFFBD4}">
  <ds:schemaRefs>
    <ds:schemaRef ds:uri="http://schemas.microsoft.com/sharepoint/v3/contenttype/forms"/>
  </ds:schemaRefs>
</ds:datastoreItem>
</file>

<file path=customXml/itemProps5.xml><?xml version="1.0" encoding="utf-8"?>
<ds:datastoreItem xmlns:ds="http://schemas.openxmlformats.org/officeDocument/2006/customXml" ds:itemID="{1FED65E1-1D83-4B8E-B2D1-E9364649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Member meeting report (2)</Template>
  <TotalTime>1</TotalTime>
  <Pages>8</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2</cp:revision>
  <dcterms:created xsi:type="dcterms:W3CDTF">2020-11-06T13:40:00Z</dcterms:created>
  <dcterms:modified xsi:type="dcterms:W3CDTF">2020-11-06T13:40:00Z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